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50.png" ContentType="image/png"/>
  <Override PartName="/word/media/rId52.png" ContentType="image/png"/>
  <Override PartName="/word/media/rId80.png" ContentType="image/png"/>
  <Override PartName="/word/media/rId91.png" ContentType="image/png"/>
  <Override PartName="/word/media/rId97.png" ContentType="image/png"/>
  <Override PartName="/word/media/rId95.png" ContentType="image/png"/>
  <Override PartName="/word/media/rId93.png" ContentType="image/png"/>
  <Override PartName="/word/media/rId103.png" ContentType="image/png"/>
  <Override PartName="/word/media/rId101.png" ContentType="image/png"/>
  <Override PartName="/word/media/rId99.png" ContentType="image/png"/>
  <Override PartName="/word/media/rId89.png" ContentType="image/png"/>
  <Override PartName="/word/media/rId109.png" ContentType="image/png"/>
  <Override PartName="/word/media/rId86.png" ContentType="image/png"/>
  <Override PartName="/word/media/rId68.png" ContentType="image/png"/>
  <Override PartName="/word/media/rId70.png" ContentType="image/png"/>
  <Override PartName="/word/media/rId59.png" ContentType="image/png"/>
  <Override PartName="/word/media/rId61.png" ContentType="image/png"/>
  <Override PartName="/word/media/rId63.png" ContentType="image/png"/>
  <Override PartName="/word/media/rId65.png" ContentType="image/png"/>
  <Override PartName="/word/media/rId77.png" ContentType="image/png"/>
  <Override PartName="/word/media/rId143.png" ContentType="image/png"/>
  <Override PartName="/word/media/rId145.png" ContentType="image/png"/>
  <Override PartName="/word/media/rId147.png" ContentType="image/png"/>
  <Override PartName="/word/media/rId30.png" ContentType="image/png"/>
  <Override PartName="/word/media/rId32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Руководство по внедрению Synergy ITSM 0.1-alpha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2024-05-31T07:46:14Z</w:t>
      </w:r>
    </w:p>
    <w:p>
      <w:pPr>
        <w:pStyle w:val="FirstParagraph"/>
      </w:pPr>
      <w:bookmarkStart w:id="20" w:name="index.xhtml"/>
      <w:bookmarkEnd w:id="20"/>
    </w:p>
    <w:bookmarkStart w:id="21" w:name="index.xhtml#id1"/>
    <w:p>
      <w:pPr>
        <w:pStyle w:val="Heading1"/>
      </w:pPr>
      <w:r>
        <w:t xml:space="preserve">Содержание</w:t>
      </w:r>
    </w:p>
    <w:p>
      <w:pPr>
        <w:pStyle w:val="Compact"/>
        <w:numPr>
          <w:numId w:val="1001"/>
          <w:ilvl w:val="0"/>
        </w:numPr>
      </w:pPr>
      <w:hyperlink w:anchor="methodology.xhtml">
        <w:r>
          <w:rPr>
            <w:rStyle w:val="Hyperlink"/>
          </w:rPr>
          <w:t xml:space="preserve">1. Методология внедрения</w:t>
        </w:r>
      </w:hyperlink>
    </w:p>
    <w:p>
      <w:pPr>
        <w:pStyle w:val="Compact"/>
        <w:numPr>
          <w:numId w:val="1002"/>
          <w:ilvl w:val="1"/>
        </w:numPr>
      </w:pPr>
      <w:hyperlink w:anchor="methodology.xhtml#id2">
        <w:r>
          <w:rPr>
            <w:rStyle w:val="Hyperlink"/>
          </w:rPr>
          <w:t xml:space="preserve">1.1. Получение ресурсов (боевого и тестового стенда)</w:t>
        </w:r>
      </w:hyperlink>
    </w:p>
    <w:p>
      <w:pPr>
        <w:pStyle w:val="Compact"/>
        <w:numPr>
          <w:numId w:val="1002"/>
          <w:ilvl w:val="1"/>
        </w:numPr>
      </w:pPr>
      <w:hyperlink w:anchor="methodology.xhtml#id4">
        <w:r>
          <w:rPr>
            <w:rStyle w:val="Hyperlink"/>
          </w:rPr>
          <w:t xml:space="preserve">1.2. Установка и настройка системы</w:t>
        </w:r>
      </w:hyperlink>
    </w:p>
    <w:p>
      <w:pPr>
        <w:pStyle w:val="Compact"/>
        <w:numPr>
          <w:numId w:val="1002"/>
          <w:ilvl w:val="1"/>
        </w:numPr>
      </w:pPr>
      <w:hyperlink w:anchor="methodology.xhtml#sla">
        <w:r>
          <w:rPr>
            <w:rStyle w:val="Hyperlink"/>
          </w:rPr>
          <w:t xml:space="preserve">1.3. Разработка и внесение справочника услуг, Определение SLA</w:t>
        </w:r>
      </w:hyperlink>
    </w:p>
    <w:p>
      <w:pPr>
        <w:pStyle w:val="Compact"/>
        <w:numPr>
          <w:numId w:val="1002"/>
          <w:ilvl w:val="1"/>
        </w:numPr>
      </w:pPr>
      <w:hyperlink w:anchor="methodology.xhtml#id8">
        <w:r>
          <w:rPr>
            <w:rStyle w:val="Hyperlink"/>
          </w:rPr>
          <w:t xml:space="preserve">1.4. Кастомизация процессов по факту выявленных пожеланий</w:t>
        </w:r>
      </w:hyperlink>
    </w:p>
    <w:p>
      <w:pPr>
        <w:pStyle w:val="Compact"/>
        <w:numPr>
          <w:numId w:val="1002"/>
          <w:ilvl w:val="1"/>
        </w:numPr>
      </w:pPr>
      <w:hyperlink w:anchor="methodology.xhtml#id11">
        <w:r>
          <w:rPr>
            <w:rStyle w:val="Hyperlink"/>
          </w:rPr>
          <w:t xml:space="preserve">1.5. Обучение сотрудников работе в системе</w:t>
        </w:r>
      </w:hyperlink>
    </w:p>
    <w:p>
      <w:pPr>
        <w:pStyle w:val="Compact"/>
        <w:numPr>
          <w:numId w:val="1002"/>
          <w:ilvl w:val="1"/>
        </w:numPr>
      </w:pPr>
      <w:hyperlink w:anchor="methodology.xhtml#id12">
        <w:r>
          <w:rPr>
            <w:rStyle w:val="Hyperlink"/>
          </w:rPr>
          <w:t xml:space="preserve">1.6. Опытная эксплуатация</w:t>
        </w:r>
      </w:hyperlink>
    </w:p>
    <w:p>
      <w:pPr>
        <w:pStyle w:val="Compact"/>
        <w:numPr>
          <w:numId w:val="1002"/>
          <w:ilvl w:val="1"/>
        </w:numPr>
      </w:pPr>
      <w:hyperlink w:anchor="methodology.xhtml#id13">
        <w:r>
          <w:rPr>
            <w:rStyle w:val="Hyperlink"/>
          </w:rPr>
          <w:t xml:space="preserve">1.7. Запуск в промышленную эксплуатацию</w:t>
        </w:r>
      </w:hyperlink>
    </w:p>
    <w:p>
      <w:pPr>
        <w:pStyle w:val="Compact"/>
        <w:numPr>
          <w:numId w:val="1001"/>
          <w:ilvl w:val="0"/>
        </w:numPr>
      </w:pPr>
      <w:hyperlink w:anchor="Install_manual.xhtml">
        <w:r>
          <w:rPr>
            <w:rStyle w:val="Hyperlink"/>
          </w:rPr>
          <w:t xml:space="preserve">2. Инструкция по установке</w:t>
        </w:r>
      </w:hyperlink>
    </w:p>
    <w:p>
      <w:pPr>
        <w:pStyle w:val="Compact"/>
        <w:numPr>
          <w:numId w:val="1003"/>
          <w:ilvl w:val="1"/>
        </w:numPr>
      </w:pPr>
      <w:hyperlink w:anchor="Install_manual.xhtml#id3">
        <w:r>
          <w:rPr>
            <w:rStyle w:val="Hyperlink"/>
          </w:rPr>
          <w:t xml:space="preserve">2.1. Для работоспособности личного кабинета необходимо</w:t>
        </w:r>
      </w:hyperlink>
    </w:p>
    <w:p>
      <w:pPr>
        <w:pStyle w:val="Compact"/>
        <w:numPr>
          <w:numId w:val="1003"/>
          <w:ilvl w:val="1"/>
        </w:numPr>
      </w:pPr>
      <w:hyperlink w:anchor="Install_manual.xhtml#manual">
        <w:r>
          <w:rPr>
            <w:rStyle w:val="Hyperlink"/>
          </w:rPr>
          <w:t xml:space="preserve">2.2. В случае установки в режиме Manual</w:t>
        </w:r>
      </w:hyperlink>
    </w:p>
    <w:p>
      <w:pPr>
        <w:pStyle w:val="Compact"/>
        <w:numPr>
          <w:numId w:val="1001"/>
          <w:ilvl w:val="0"/>
        </w:numPr>
      </w:pPr>
      <w:hyperlink w:anchor="First_configuration.xhtml">
        <w:r>
          <w:rPr>
            <w:rStyle w:val="Hyperlink"/>
          </w:rPr>
          <w:t xml:space="preserve">3. Первичные настройки</w:t>
        </w:r>
      </w:hyperlink>
    </w:p>
    <w:p>
      <w:pPr>
        <w:pStyle w:val="Compact"/>
        <w:numPr>
          <w:numId w:val="1004"/>
          <w:ilvl w:val="1"/>
        </w:numPr>
      </w:pPr>
      <w:hyperlink w:anchor="First_configuration.xhtml#id2">
        <w:r>
          <w:rPr>
            <w:rStyle w:val="Hyperlink"/>
          </w:rPr>
          <w:t xml:space="preserve">3.1. Для общей работоспособности</w:t>
        </w:r>
      </w:hyperlink>
    </w:p>
    <w:p>
      <w:pPr>
        <w:pStyle w:val="Compact"/>
        <w:numPr>
          <w:numId w:val="1004"/>
          <w:ilvl w:val="1"/>
        </w:numPr>
      </w:pPr>
      <w:hyperlink w:anchor="First_configuration.xhtml#id4">
        <w:r>
          <w:rPr>
            <w:rStyle w:val="Hyperlink"/>
          </w:rPr>
          <w:t xml:space="preserve">3.2. Для работоспособности дашбордов:</w:t>
        </w:r>
      </w:hyperlink>
    </w:p>
    <w:p>
      <w:pPr>
        <w:pStyle w:val="Compact"/>
        <w:numPr>
          <w:numId w:val="1001"/>
          <w:ilvl w:val="0"/>
        </w:numPr>
      </w:pPr>
      <w:hyperlink w:anchor="mail-integration.xhtml">
        <w:r>
          <w:rPr>
            <w:rStyle w:val="Hyperlink"/>
          </w:rPr>
          <w:t xml:space="preserve">4. Настройка интеграции с почтой</w:t>
        </w:r>
      </w:hyperlink>
    </w:p>
    <w:p>
      <w:pPr>
        <w:pStyle w:val="Compact"/>
        <w:numPr>
          <w:numId w:val="1005"/>
          <w:ilvl w:val="1"/>
        </w:numPr>
      </w:pPr>
      <w:hyperlink w:anchor="mail-integration.xhtml#id2">
        <w:r>
          <w:rPr>
            <w:rStyle w:val="Hyperlink"/>
          </w:rPr>
          <w:t xml:space="preserve">4.1. Уведомления</w:t>
        </w:r>
      </w:hyperlink>
    </w:p>
    <w:p>
      <w:pPr>
        <w:pStyle w:val="Compact"/>
        <w:numPr>
          <w:numId w:val="1005"/>
          <w:ilvl w:val="1"/>
        </w:numPr>
      </w:pPr>
      <w:hyperlink w:anchor="mail-integration.xhtml#id3">
        <w:r>
          <w:rPr>
            <w:rStyle w:val="Hyperlink"/>
          </w:rPr>
          <w:t xml:space="preserve">4.2. Прием и обработка обращений</w:t>
        </w:r>
      </w:hyperlink>
    </w:p>
    <w:p>
      <w:pPr>
        <w:pStyle w:val="Compact"/>
        <w:numPr>
          <w:numId w:val="1001"/>
          <w:ilvl w:val="0"/>
        </w:numPr>
      </w:pPr>
      <w:hyperlink w:anchor="Product_structure.xhtml">
        <w:r>
          <w:rPr>
            <w:rStyle w:val="Hyperlink"/>
          </w:rPr>
          <w:t xml:space="preserve">5. Структура продукта</w:t>
        </w:r>
      </w:hyperlink>
    </w:p>
    <w:p>
      <w:pPr>
        <w:pStyle w:val="Compact"/>
        <w:numPr>
          <w:numId w:val="1006"/>
          <w:ilvl w:val="1"/>
        </w:numPr>
      </w:pPr>
      <w:hyperlink w:anchor="Product_structure.xhtml#id2">
        <w:r>
          <w:rPr>
            <w:rStyle w:val="Hyperlink"/>
          </w:rPr>
          <w:t xml:space="preserve">5.1. Как все устроено</w:t>
        </w:r>
      </w:hyperlink>
    </w:p>
    <w:p>
      <w:pPr>
        <w:pStyle w:val="Compact"/>
        <w:numPr>
          <w:numId w:val="1006"/>
          <w:ilvl w:val="1"/>
        </w:numPr>
      </w:pPr>
      <w:hyperlink w:anchor="Product_structure.xhtml#id3">
        <w:r>
          <w:rPr>
            <w:rStyle w:val="Hyperlink"/>
          </w:rPr>
          <w:t xml:space="preserve">5.2. Структура конфигурации</w:t>
        </w:r>
      </w:hyperlink>
    </w:p>
    <w:p>
      <w:pPr>
        <w:pStyle w:val="Compact"/>
        <w:numPr>
          <w:numId w:val="1006"/>
          <w:ilvl w:val="1"/>
        </w:numPr>
      </w:pPr>
      <w:hyperlink w:anchor="Product_structure.xhtml#id4">
        <w:r>
          <w:rPr>
            <w:rStyle w:val="Hyperlink"/>
          </w:rPr>
          <w:t xml:space="preserve">5.3. Модель данных</w:t>
        </w:r>
      </w:hyperlink>
    </w:p>
    <w:p>
      <w:pPr>
        <w:pStyle w:val="Compact"/>
        <w:numPr>
          <w:numId w:val="1001"/>
          <w:ilvl w:val="0"/>
        </w:numPr>
      </w:pPr>
      <w:hyperlink w:anchor="Incident_structure.xhtml">
        <w:r>
          <w:rPr>
            <w:rStyle w:val="Hyperlink"/>
          </w:rPr>
          <w:t xml:space="preserve">6. Структура модуля «Управление обращениями»</w:t>
        </w:r>
      </w:hyperlink>
    </w:p>
    <w:p>
      <w:pPr>
        <w:pStyle w:val="Compact"/>
        <w:numPr>
          <w:numId w:val="1007"/>
          <w:ilvl w:val="1"/>
        </w:numPr>
      </w:pPr>
      <w:hyperlink w:anchor="Incident_structure.xhtml#id3">
        <w:r>
          <w:rPr>
            <w:rStyle w:val="Hyperlink"/>
          </w:rPr>
          <w:t xml:space="preserve">6.1. Основные сущности</w:t>
        </w:r>
      </w:hyperlink>
    </w:p>
    <w:p>
      <w:pPr>
        <w:pStyle w:val="Compact"/>
        <w:numPr>
          <w:numId w:val="1007"/>
          <w:ilvl w:val="1"/>
        </w:numPr>
      </w:pPr>
      <w:hyperlink w:anchor="Incident_structure.xhtml#id4">
        <w:r>
          <w:rPr>
            <w:rStyle w:val="Hyperlink"/>
          </w:rPr>
          <w:t xml:space="preserve">6.2. Обращения</w:t>
        </w:r>
      </w:hyperlink>
    </w:p>
    <w:p>
      <w:pPr>
        <w:pStyle w:val="Compact"/>
        <w:numPr>
          <w:numId w:val="1007"/>
          <w:ilvl w:val="1"/>
        </w:numPr>
      </w:pPr>
      <w:hyperlink w:anchor="Incident_structure.xhtml#id9">
        <w:r>
          <w:rPr>
            <w:rStyle w:val="Hyperlink"/>
          </w:rPr>
          <w:t xml:space="preserve">6.3. Список блокирующих процессов</w:t>
        </w:r>
      </w:hyperlink>
    </w:p>
    <w:p>
      <w:pPr>
        <w:pStyle w:val="Compact"/>
        <w:numPr>
          <w:numId w:val="1007"/>
          <w:ilvl w:val="1"/>
        </w:numPr>
      </w:pPr>
      <w:hyperlink w:anchor="Incident_structure.xhtml#id10">
        <w:r>
          <w:rPr>
            <w:rStyle w:val="Hyperlink"/>
          </w:rPr>
          <w:t xml:space="preserve">6.4. Дополнительные механизмы</w:t>
        </w:r>
      </w:hyperlink>
    </w:p>
    <w:p>
      <w:pPr>
        <w:pStyle w:val="Compact"/>
        <w:numPr>
          <w:numId w:val="1001"/>
          <w:ilvl w:val="0"/>
        </w:numPr>
      </w:pPr>
      <w:hyperlink w:anchor="Portal.xhtml">
        <w:r>
          <w:rPr>
            <w:rStyle w:val="Hyperlink"/>
          </w:rPr>
          <w:t xml:space="preserve">7. Портал. Как все устроено.</w:t>
        </w:r>
      </w:hyperlink>
    </w:p>
    <w:p>
      <w:pPr>
        <w:pStyle w:val="Compact"/>
        <w:numPr>
          <w:numId w:val="1008"/>
          <w:ilvl w:val="1"/>
        </w:numPr>
      </w:pPr>
      <w:hyperlink w:anchor="Portal.xhtml#id2">
        <w:r>
          <w:rPr>
            <w:rStyle w:val="Hyperlink"/>
          </w:rPr>
          <w:t xml:space="preserve">7.1. Структура портала</w:t>
        </w:r>
      </w:hyperlink>
    </w:p>
    <w:p>
      <w:pPr>
        <w:pStyle w:val="Compact"/>
        <w:numPr>
          <w:numId w:val="1008"/>
          <w:ilvl w:val="1"/>
        </w:numPr>
      </w:pPr>
      <w:hyperlink w:anchor="Portal.xhtml#id9">
        <w:r>
          <w:rPr>
            <w:rStyle w:val="Hyperlink"/>
          </w:rPr>
          <w:t xml:space="preserve">7.2. Сценарии использования</w:t>
        </w:r>
      </w:hyperlink>
    </w:p>
    <w:p>
      <w:pPr>
        <w:pStyle w:val="Compact"/>
        <w:numPr>
          <w:numId w:val="1001"/>
          <w:ilvl w:val="0"/>
        </w:numPr>
      </w:pPr>
      <w:hyperlink w:anchor="Reports.xhtml">
        <w:r>
          <w:rPr>
            <w:rStyle w:val="Hyperlink"/>
          </w:rPr>
          <w:t xml:space="preserve">8. Отчетность</w:t>
        </w:r>
      </w:hyperlink>
    </w:p>
    <w:p>
      <w:pPr>
        <w:pStyle w:val="Compact"/>
        <w:numPr>
          <w:numId w:val="1009"/>
          <w:ilvl w:val="1"/>
        </w:numPr>
      </w:pPr>
      <w:hyperlink w:anchor="Reports.xhtml#xls">
        <w:r>
          <w:rPr>
            <w:rStyle w:val="Hyperlink"/>
          </w:rPr>
          <w:t xml:space="preserve">8.1. Выгрузка в xls</w:t>
        </w:r>
      </w:hyperlink>
    </w:p>
    <w:p>
      <w:pPr>
        <w:pStyle w:val="Compact"/>
        <w:numPr>
          <w:numId w:val="1009"/>
          <w:ilvl w:val="1"/>
        </w:numPr>
      </w:pPr>
      <w:hyperlink w:anchor="Reports.xhtml#id2">
        <w:r>
          <w:rPr>
            <w:rStyle w:val="Hyperlink"/>
          </w:rPr>
          <w:t xml:space="preserve">8.2. Дашборды</w:t>
        </w:r>
      </w:hyperlink>
    </w:p>
    <w:p>
      <w:pPr>
        <w:pStyle w:val="Compact"/>
        <w:numPr>
          <w:numId w:val="1001"/>
          <w:ilvl w:val="0"/>
        </w:numPr>
      </w:pPr>
      <w:hyperlink w:anchor="Tasks.xhtml">
        <w:r>
          <w:rPr>
            <w:rStyle w:val="Hyperlink"/>
          </w:rPr>
          <w:t xml:space="preserve">9. Задания</w:t>
        </w:r>
      </w:hyperlink>
    </w:p>
    <w:p>
      <w:pPr>
        <w:pStyle w:val="Compact"/>
        <w:numPr>
          <w:numId w:val="1010"/>
          <w:ilvl w:val="1"/>
        </w:numPr>
      </w:pPr>
      <w:hyperlink w:anchor="Task_1.xhtml">
        <w:r>
          <w:rPr>
            <w:rStyle w:val="Hyperlink"/>
          </w:rPr>
          <w:t xml:space="preserve">9.1. Задание 1</w:t>
        </w:r>
      </w:hyperlink>
    </w:p>
    <w:p>
      <w:pPr>
        <w:pStyle w:val="Compact"/>
        <w:numPr>
          <w:numId w:val="1010"/>
          <w:ilvl w:val="1"/>
        </w:numPr>
      </w:pPr>
      <w:hyperlink w:anchor="Task_2.xhtml">
        <w:r>
          <w:rPr>
            <w:rStyle w:val="Hyperlink"/>
          </w:rPr>
          <w:t xml:space="preserve">9.2. Задание 2</w:t>
        </w:r>
      </w:hyperlink>
    </w:p>
    <w:p>
      <w:pPr>
        <w:pStyle w:val="Compact"/>
        <w:numPr>
          <w:numId w:val="1010"/>
          <w:ilvl w:val="1"/>
        </w:numPr>
      </w:pPr>
      <w:hyperlink w:anchor="Task_3.xhtml">
        <w:r>
          <w:rPr>
            <w:rStyle w:val="Hyperlink"/>
          </w:rPr>
          <w:t xml:space="preserve">9.3. Задание 3</w:t>
        </w:r>
      </w:hyperlink>
    </w:p>
    <w:p>
      <w:pPr>
        <w:pStyle w:val="Compact"/>
        <w:numPr>
          <w:numId w:val="1010"/>
          <w:ilvl w:val="1"/>
        </w:numPr>
      </w:pPr>
      <w:hyperlink w:anchor="Task_4.xhtml">
        <w:r>
          <w:rPr>
            <w:rStyle w:val="Hyperlink"/>
          </w:rPr>
          <w:t xml:space="preserve">9.4. Задание 4</w:t>
        </w:r>
      </w:hyperlink>
    </w:p>
    <w:p>
      <w:pPr>
        <w:pStyle w:val="Compact"/>
        <w:numPr>
          <w:numId w:val="1010"/>
          <w:ilvl w:val="1"/>
        </w:numPr>
      </w:pPr>
      <w:hyperlink w:anchor="Task_5.xhtml">
        <w:r>
          <w:rPr>
            <w:rStyle w:val="Hyperlink"/>
          </w:rPr>
          <w:t xml:space="preserve">9.5. Задание 5</w:t>
        </w:r>
      </w:hyperlink>
    </w:p>
    <w:p>
      <w:pPr>
        <w:pStyle w:val="Compact"/>
        <w:numPr>
          <w:numId w:val="1010"/>
          <w:ilvl w:val="1"/>
        </w:numPr>
      </w:pPr>
      <w:hyperlink w:anchor="Task_7.xhtml">
        <w:r>
          <w:rPr>
            <w:rStyle w:val="Hyperlink"/>
          </w:rPr>
          <w:t xml:space="preserve">9.6. Задание 7</w:t>
        </w:r>
      </w:hyperlink>
    </w:p>
    <w:p>
      <w:pPr>
        <w:pStyle w:val="Compact"/>
        <w:numPr>
          <w:numId w:val="1010"/>
          <w:ilvl w:val="1"/>
        </w:numPr>
      </w:pPr>
      <w:hyperlink w:anchor="Task_8.xhtml">
        <w:r>
          <w:rPr>
            <w:rStyle w:val="Hyperlink"/>
          </w:rPr>
          <w:t xml:space="preserve">9.7. Задание 8</w:t>
        </w:r>
      </w:hyperlink>
    </w:p>
    <w:bookmarkEnd w:id="21"/>
    <w:p>
      <w:pPr>
        <w:pStyle w:val="FirstParagraph"/>
      </w:pPr>
      <w:bookmarkStart w:id="22" w:name="methodology.xhtml"/>
      <w:bookmarkEnd w:id="22"/>
    </w:p>
    <w:bookmarkStart w:id="41" w:name="methodology.xhtml#id1"/>
    <w:p>
      <w:pPr>
        <w:pStyle w:val="Heading1"/>
      </w:pPr>
      <w:r>
        <w:t xml:space="preserve">1. Методология внедрения</w:t>
      </w:r>
    </w:p>
    <w:bookmarkStart w:id="24" w:name="methodology.xhtml#id2"/>
    <w:p>
      <w:pPr>
        <w:pStyle w:val="Heading2"/>
      </w:pPr>
      <w:r>
        <w:t xml:space="preserve">1.1. Получение ресурсов (боевого и тестового стенда)</w:t>
      </w:r>
    </w:p>
    <w:p>
      <w:pPr>
        <w:pStyle w:val="FirstParagraph"/>
      </w:pPr>
      <w:r>
        <w:t xml:space="preserve">Характеристики серверов:</w:t>
      </w:r>
    </w:p>
    <w:p>
      <w:pPr>
        <w:numPr>
          <w:numId w:val="1011"/>
          <w:ilvl w:val="0"/>
        </w:numPr>
      </w:pPr>
      <w:r>
        <w:t xml:space="preserve">Хранилище Jackrabbit</w:t>
      </w:r>
    </w:p>
    <w:p>
      <w:pPr>
        <w:numPr>
          <w:numId w:val="1011"/>
          <w:ilvl w:val="0"/>
        </w:numPr>
      </w:pPr>
      <w:r>
        <w:t xml:space="preserve">Поисковые индексы Lucene</w:t>
      </w:r>
    </w:p>
    <w:p>
      <w:pPr>
        <w:numPr>
          <w:numId w:val="1011"/>
          <w:ilvl w:val="0"/>
        </w:numPr>
      </w:pPr>
      <w:r>
        <w:t xml:space="preserve">16 Гб ОЗУ</w:t>
      </w:r>
    </w:p>
    <w:p>
      <w:pPr>
        <w:numPr>
          <w:numId w:val="1011"/>
          <w:ilvl w:val="0"/>
        </w:numPr>
      </w:pPr>
      <w:r>
        <w:t xml:space="preserve">Debian GNU/Linux (jessie, wheezy)</w:t>
      </w:r>
    </w:p>
    <w:p>
      <w:pPr>
        <w:numPr>
          <w:numId w:val="1011"/>
          <w:ilvl w:val="0"/>
        </w:numPr>
      </w:pPr>
      <w:r>
        <w:t xml:space="preserve">CPU 8-core</w:t>
      </w:r>
    </w:p>
    <w:p>
      <w:pPr>
        <w:numPr>
          <w:numId w:val="1011"/>
          <w:ilvl w:val="0"/>
        </w:numPr>
      </w:pPr>
      <w:r>
        <w:t xml:space="preserve">HDD/SSD с 10Гб свободного дискового пространства.</w:t>
      </w:r>
    </w:p>
    <w:p>
      <w:pPr>
        <w:pStyle w:val="FirstParagraph"/>
      </w:pPr>
      <w:r>
        <w:t xml:space="preserve">Предупреждение</w:t>
      </w:r>
    </w:p>
    <w:p>
      <w:pPr>
        <w:pStyle w:val="BodyText"/>
      </w:pPr>
      <w:r>
        <w:t xml:space="preserve">Настоятельно рекомендуем развернуть тестовый стенд, полностью дублирующий конфигурацию системы боевого сервера,</w:t>
      </w:r>
      <w:r>
        <w:t xml:space="preserve"> </w:t>
      </w:r>
      <w:r>
        <w:t xml:space="preserve">для диагностики и воспроизведения потенциальных проблем, тестирования обновления и изменений конфигурации.</w:t>
      </w:r>
    </w:p>
    <w:p>
      <w:pPr>
        <w:pStyle w:val="BodyText"/>
      </w:pPr>
      <w:r>
        <w:t xml:space="preserve">Совет</w:t>
      </w:r>
    </w:p>
    <w:p>
      <w:pPr>
        <w:pStyle w:val="BodyText"/>
      </w:pPr>
      <w:r>
        <w:t xml:space="preserve">Проверь себя, выполни</w:t>
      </w:r>
      <w:r>
        <w:t xml:space="preserve"> </w:t>
      </w:r>
      <w:hyperlink r:id="rId23">
        <w:r>
          <w:rPr>
            <w:rStyle w:val="Hyperlink"/>
          </w:rPr>
          <w:t xml:space="preserve">Задание_1</w:t>
        </w:r>
      </w:hyperlink>
      <w:r>
        <w:t xml:space="preserve"> </w:t>
      </w:r>
      <w:r>
        <w:t xml:space="preserve">[http://rtd.lan.arta.kz/docs/itsm-custom-maual/ru/latest/Task_1.html]</w:t>
      </w:r>
    </w:p>
    <w:bookmarkEnd w:id="24"/>
    <w:bookmarkStart w:id="28" w:name="methodology.xhtml#id4"/>
    <w:p>
      <w:pPr>
        <w:pStyle w:val="Heading2"/>
      </w:pPr>
      <w:r>
        <w:t xml:space="preserve">1.2. Установка и настройка системы</w:t>
      </w:r>
    </w:p>
    <w:p>
      <w:pPr>
        <w:pStyle w:val="FirstParagraph"/>
      </w:pPr>
      <w:r>
        <w:t xml:space="preserve">Воспользуйтесь инструкциями данного документа для установки (</w:t>
      </w:r>
      <w:hyperlink r:id="rId25">
        <w:r>
          <w:rPr>
            <w:rStyle w:val="Hyperlink"/>
          </w:rPr>
          <w:t xml:space="preserve">Инструкция по установке</w:t>
        </w:r>
      </w:hyperlink>
      <w:r>
        <w:t xml:space="preserve"> </w:t>
      </w:r>
      <w:r>
        <w:t xml:space="preserve">[http://rtd.lan.arta.kz/docs/itsm-custom-maual/ru/latest/Install_manual.html]</w:t>
      </w:r>
      <w:r>
        <w:t xml:space="preserve">) и первичной настройки (</w:t>
      </w:r>
      <w:r>
        <w:t xml:space="preserve"> </w:t>
      </w:r>
      <w:hyperlink r:id="rId26">
        <w:r>
          <w:rPr>
            <w:rStyle w:val="Hyperlink"/>
          </w:rPr>
          <w:t xml:space="preserve">Инструкция по первичной настройке</w:t>
        </w:r>
      </w:hyperlink>
      <w:r>
        <w:t xml:space="preserve"> </w:t>
      </w:r>
      <w:r>
        <w:t xml:space="preserve">[http://rtd.lan.arta.kz/docs/itsm-custom-maual/ru/latest/First_configuration.html]</w:t>
      </w:r>
      <w:r>
        <w:t xml:space="preserve"> </w:t>
      </w:r>
      <w:r>
        <w:t xml:space="preserve">)</w:t>
      </w:r>
      <w:r>
        <w:t xml:space="preserve"> </w:t>
      </w:r>
      <w:r>
        <w:t xml:space="preserve">системы на боевом и тестовом стендах.</w:t>
      </w:r>
    </w:p>
    <w:p>
      <w:pPr>
        <w:pStyle w:val="BodyText"/>
      </w:pPr>
      <w:r>
        <w:t xml:space="preserve">Также, при потребности, произвести настройку интеграции с почтой, воспользуйтесь</w:t>
      </w:r>
      <w:r>
        <w:t xml:space="preserve"> </w:t>
      </w:r>
      <w:hyperlink r:id="rId27">
        <w:r>
          <w:rPr>
            <w:rStyle w:val="Hyperlink"/>
          </w:rPr>
          <w:t xml:space="preserve">Инструкцией по настройке интеграции с почтой</w:t>
        </w:r>
      </w:hyperlink>
      <w:r>
        <w:t xml:space="preserve"> </w:t>
      </w:r>
      <w:r>
        <w:t xml:space="preserve">[http://rtd.lan.arta.kz/docs/itsm-custom-maual/ru/latest/mail-integration.html]</w:t>
      </w:r>
    </w:p>
    <w:bookmarkEnd w:id="28"/>
    <w:bookmarkStart w:id="34" w:name="methodology.xhtml#sla"/>
    <w:p>
      <w:pPr>
        <w:pStyle w:val="Heading2"/>
      </w:pPr>
      <w:r>
        <w:t xml:space="preserve">1.3. Разработка и внесение справочника услуг, Определение SLA</w:t>
      </w:r>
    </w:p>
    <w:p>
      <w:pPr>
        <w:pStyle w:val="FirstParagraph"/>
      </w:pPr>
      <w:r>
        <w:t xml:space="preserve">Прежде всего, в компании, внедряющей ИТСМ систму, должен быть утвержден перечень услуг, предоставляемых IT-департаментом.</w:t>
      </w:r>
    </w:p>
    <w:p>
      <w:pPr>
        <w:pStyle w:val="BodyText"/>
      </w:pPr>
      <w:r>
        <w:t xml:space="preserve">Понятие «Сервис» или «Услуга», включает в себя:</w:t>
      </w:r>
    </w:p>
    <w:p>
      <w:pPr>
        <w:numPr>
          <w:numId w:val="1012"/>
          <w:ilvl w:val="0"/>
        </w:numPr>
      </w:pPr>
      <w:r>
        <w:t xml:space="preserve">Название услуги</w:t>
      </w:r>
    </w:p>
    <w:p>
      <w:pPr>
        <w:numPr>
          <w:numId w:val="1012"/>
          <w:ilvl w:val="0"/>
        </w:numPr>
      </w:pPr>
      <w:r>
        <w:t xml:space="preserve">Подробное описание</w:t>
      </w:r>
    </w:p>
    <w:p>
      <w:pPr>
        <w:numPr>
          <w:numId w:val="1012"/>
          <w:ilvl w:val="0"/>
        </w:numPr>
      </w:pPr>
      <w:r>
        <w:t xml:space="preserve">Закрепление ответственного менеджера</w:t>
      </w:r>
    </w:p>
    <w:p>
      <w:pPr>
        <w:numPr>
          <w:numId w:val="1012"/>
          <w:ilvl w:val="0"/>
        </w:numPr>
      </w:pPr>
      <w:r>
        <w:t xml:space="preserve">Определение группы доступа к сервису</w:t>
      </w:r>
    </w:p>
    <w:p>
      <w:pPr>
        <w:numPr>
          <w:numId w:val="1012"/>
          <w:ilvl w:val="0"/>
        </w:numPr>
      </w:pPr>
      <w:r>
        <w:t xml:space="preserve">Определение времени реакции (1 линии) и времени решения (2 линии) для каждой группы по каждому сервису</w:t>
      </w:r>
    </w:p>
    <w:p>
      <w:pPr>
        <w:pStyle w:val="FirstParagraph"/>
      </w:pPr>
      <w:r>
        <w:t xml:space="preserve">После формализации представления о перечени услуг по указанным выше параметр, справочник услуг должен быть внесен в систему. Следующим образом:</w:t>
      </w:r>
    </w:p>
    <w:p>
      <w:pPr>
        <w:numPr>
          <w:numId w:val="1013"/>
          <w:ilvl w:val="0"/>
        </w:numPr>
      </w:pPr>
      <w:r>
        <w:t xml:space="preserve">Авторизоваться в приложении</w:t>
      </w:r>
      <w:r>
        <w:t xml:space="preserve"> </w:t>
      </w:r>
      <w:hyperlink r:id="rId29">
        <w:r>
          <w:rPr>
            <w:rStyle w:val="Hyperlink"/>
          </w:rPr>
          <w:t xml:space="preserve">http://ip/Synergy/</w:t>
        </w:r>
      </w:hyperlink>
      <w:r>
        <w:t xml:space="preserve"> </w:t>
      </w:r>
      <w:r>
        <w:t xml:space="preserve">, где ip - адрес установленной системы</w:t>
      </w:r>
    </w:p>
    <w:p>
      <w:pPr>
        <w:numPr>
          <w:numId w:val="1013"/>
          <w:ilvl w:val="0"/>
        </w:numPr>
      </w:pPr>
      <w:r>
        <w:t xml:space="preserve">Перейти в модуль Хранилище, раздел Реестры</w:t>
      </w:r>
    </w:p>
    <w:p>
      <w:pPr>
        <w:numPr>
          <w:numId w:val="1013"/>
          <w:ilvl w:val="0"/>
        </w:numPr>
      </w:pPr>
      <w:r>
        <w:t xml:space="preserve">Выбрать реестры Сервисы и создать запись на каждую услугу, заполнив карточку следующим образом:</w:t>
      </w:r>
    </w:p>
    <w:bookmarkStart w:id="31" w:name="methodology.xhtml#id14"/>
    <w:p>
      <w:pPr>
        <w:pStyle w:val="Compact"/>
      </w:pPr>
      <w:r>
        <w:drawing>
          <wp:inline>
            <wp:extent cx="5334000" cy="4426085"/>
            <wp:effectExtent b="0" l="0" r="0" t="0"/>
            <wp:docPr descr="_images/sla_1.png" title="" id="1" name="Picture"/>
            <a:graphic>
              <a:graphicData uri="http://schemas.openxmlformats.org/drawingml/2006/picture">
                <pic:pic>
                  <pic:nvPicPr>
                    <pic:cNvPr descr="_images/sla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260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31"/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Опция «Популярная услуга» отмечается для вынесения услуги на портале для быстрого доступа на Главной странице.</w:t>
      </w:r>
    </w:p>
    <w:p>
      <w:pPr>
        <w:pStyle w:val="BodyText"/>
      </w:pPr>
      <w:r>
        <w:t xml:space="preserve">При необходимости, форма Услуги может быть дополнена произвольными полями, например, так:</w:t>
      </w:r>
    </w:p>
    <w:bookmarkStart w:id="33" w:name="methodology.xhtml#id15"/>
    <w:p>
      <w:pPr>
        <w:pStyle w:val="Compact"/>
      </w:pPr>
      <w:r>
        <w:drawing>
          <wp:inline>
            <wp:extent cx="5334000" cy="3481833"/>
            <wp:effectExtent b="0" l="0" r="0" t="0"/>
            <wp:docPr descr="_images/sla_2.png" title="" id="1" name="Picture"/>
            <a:graphic>
              <a:graphicData uri="http://schemas.openxmlformats.org/drawingml/2006/picture">
                <pic:pic>
                  <pic:nvPicPr>
                    <pic:cNvPr descr="_images/sla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818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33"/>
    <w:bookmarkEnd w:id="34"/>
    <w:bookmarkStart w:id="37" w:name="methodology.xhtml#id8"/>
    <w:p>
      <w:pPr>
        <w:pStyle w:val="Heading2"/>
      </w:pPr>
      <w:r>
        <w:t xml:space="preserve">1.4. Кастомизация процессов по факту выявленных пожеланий</w:t>
      </w:r>
    </w:p>
    <w:p>
      <w:pPr>
        <w:numPr>
          <w:numId w:val="1014"/>
          <w:ilvl w:val="0"/>
        </w:numPr>
      </w:pPr>
      <w:r>
        <w:t xml:space="preserve">Для выявления пожеланий по изменению стандартной конфигурации продукта, устанавливаемой по-умолчанию, рекомендуется провести демонстрацию всем заинтересованным лицам проекта, в том числе, конечным пользователем: сотрудникам первой и второй линии.</w:t>
      </w:r>
    </w:p>
    <w:p>
      <w:pPr>
        <w:numPr>
          <w:numId w:val="1014"/>
          <w:ilvl w:val="0"/>
        </w:numPr>
      </w:pPr>
      <w:r>
        <w:t xml:space="preserve">Все пожелания/замечания к продукту должны быть задокументированы и проанализированы на сложность и сроки адаптации продукта под данные требования.</w:t>
      </w:r>
    </w:p>
    <w:p>
      <w:pPr>
        <w:numPr>
          <w:numId w:val="1014"/>
          <w:ilvl w:val="0"/>
        </w:numPr>
      </w:pPr>
      <w:r>
        <w:t xml:space="preserve">В качестве вспомогательного инструмента к определению необходимых настроек в системе для реализации тех или иных пожеланий, рекомендуется ознакомиться со</w:t>
      </w:r>
      <w:r>
        <w:t xml:space="preserve"> </w:t>
      </w:r>
      <w:hyperlink r:id="rId35">
        <w:r>
          <w:rPr>
            <w:rStyle w:val="Hyperlink"/>
          </w:rPr>
          <w:t xml:space="preserve">Структурой продукта</w:t>
        </w:r>
      </w:hyperlink>
      <w:r>
        <w:t xml:space="preserve"> </w:t>
      </w:r>
      <w:r>
        <w:t xml:space="preserve">[http://rtd.lan.arta.kz/docs/itsm-custom-maual/ru/latest/Product_structure.html]</w:t>
      </w:r>
      <w:r>
        <w:t xml:space="preserve">, а также</w:t>
      </w:r>
      <w:r>
        <w:t xml:space="preserve"> </w:t>
      </w:r>
      <w:hyperlink r:id="rId36">
        <w:r>
          <w:rPr>
            <w:rStyle w:val="Hyperlink"/>
          </w:rPr>
          <w:t xml:space="preserve">Руководством разработчика</w:t>
        </w:r>
      </w:hyperlink>
      <w:r>
        <w:t xml:space="preserve"> </w:t>
      </w:r>
      <w:r>
        <w:t xml:space="preserve">[http://rtd.lan.arta.kz/docs/guide/ru/hamming/]</w:t>
      </w:r>
    </w:p>
    <w:p>
      <w:pPr>
        <w:pStyle w:val="FirstParagraph"/>
      </w:pPr>
      <w:r>
        <w:t xml:space="preserve">Предупреждение</w:t>
      </w:r>
    </w:p>
    <w:p>
      <w:pPr>
        <w:pStyle w:val="BodyText"/>
      </w:pPr>
      <w:r>
        <w:t xml:space="preserve">Настоятельно рекомендуем провести полное тестирование всех процессов, после произведения настроек конфигурации.</w:t>
      </w:r>
    </w:p>
    <w:bookmarkEnd w:id="37"/>
    <w:bookmarkStart w:id="38" w:name="methodology.xhtml#id11"/>
    <w:p>
      <w:pPr>
        <w:pStyle w:val="Heading2"/>
      </w:pPr>
      <w:r>
        <w:t xml:space="preserve">1.5. Обучение сотрудников работе в системе</w:t>
      </w:r>
    </w:p>
    <w:p>
      <w:pPr>
        <w:numPr>
          <w:numId w:val="1015"/>
          <w:ilvl w:val="0"/>
        </w:numPr>
      </w:pPr>
      <w:r>
        <w:t xml:space="preserve">Все сотрудники организации, которым в рамках проекта предполагается обучение, могут быть объединены в группы согласно осуществляемым ими ролям (операторы 1 линии, исполнители 2 линии, менеджеры проблем и т.д.)</w:t>
      </w:r>
    </w:p>
    <w:p>
      <w:pPr>
        <w:numPr>
          <w:numId w:val="1015"/>
          <w:ilvl w:val="0"/>
        </w:numPr>
      </w:pPr>
      <w:r>
        <w:t xml:space="preserve">Рекомендуем адаптировать руководство пользователя, представленное по-умолчанию, согласно произведенным изменениям конфигурации, оргстукртуе компании и прочей специфики проекта.</w:t>
      </w:r>
    </w:p>
    <w:p>
      <w:pPr>
        <w:numPr>
          <w:numId w:val="1015"/>
          <w:ilvl w:val="0"/>
        </w:numPr>
      </w:pPr>
      <w:r>
        <w:t xml:space="preserve">В первую очередь, должны быть обучены сотрудники, исполняющие основные роли в процессах, попадающих под опытную эксплуатацию (см. Шаг 6)</w:t>
      </w:r>
    </w:p>
    <w:bookmarkEnd w:id="38"/>
    <w:bookmarkStart w:id="39" w:name="methodology.xhtml#id12"/>
    <w:p>
      <w:pPr>
        <w:pStyle w:val="Heading2"/>
      </w:pPr>
      <w:r>
        <w:t xml:space="preserve">1.6. Опытная эксплуатация</w:t>
      </w:r>
    </w:p>
    <w:p>
      <w:pPr>
        <w:numPr>
          <w:numId w:val="1016"/>
          <w:ilvl w:val="0"/>
        </w:numPr>
      </w:pPr>
      <w:r>
        <w:t xml:space="preserve">Процесс опытной эксплуатации представляет собой имитацию полноценной работы системы в боевом режиме, но в меньших масштабах. Это может быть прогон основных боевых процессов на выделенном подразделении или на определенной категории обращений.</w:t>
      </w:r>
    </w:p>
    <w:p>
      <w:pPr>
        <w:numPr>
          <w:numId w:val="1016"/>
          <w:ilvl w:val="0"/>
        </w:numPr>
      </w:pPr>
      <w:r>
        <w:t xml:space="preserve">Продолжительность процесса опытной эксплуатации зависит от масштабов проекта и количество внедряемых одновременно процессов.</w:t>
      </w:r>
    </w:p>
    <w:p>
      <w:pPr>
        <w:numPr>
          <w:numId w:val="1016"/>
          <w:ilvl w:val="0"/>
        </w:numPr>
      </w:pPr>
      <w:r>
        <w:t xml:space="preserve">Результатом опытной эксплуатации должен являться подтвержденный всеми заинтересованными сторонами факт готовности системы к использованию в промышленном режиме.</w:t>
      </w:r>
    </w:p>
    <w:p>
      <w:pPr>
        <w:numPr>
          <w:numId w:val="1016"/>
          <w:ilvl w:val="0"/>
        </w:numPr>
      </w:pPr>
      <w:r>
        <w:t xml:space="preserve">В случае выявления замечаний в ходе опытной эксплуатации, должны быть произведены соответствующие настройки в системе и измененные процессы должны быть протестированы повторно.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Рекомендуем адаптировать руководство пользователя, представленное по-умолчанию, согласно произведенным изменениям конфигурации,</w:t>
      </w:r>
      <w:r>
        <w:t xml:space="preserve"> </w:t>
      </w:r>
      <w:r>
        <w:t xml:space="preserve">оргстукртуе компании и прочей специфики проекта.</w:t>
      </w:r>
    </w:p>
    <w:bookmarkEnd w:id="39"/>
    <w:bookmarkStart w:id="40" w:name="methodology.xhtml#id13"/>
    <w:p>
      <w:pPr>
        <w:pStyle w:val="Heading2"/>
      </w:pPr>
      <w:r>
        <w:t xml:space="preserve">1.7. Запуск в промышленную эксплуатацию</w:t>
      </w:r>
    </w:p>
    <w:bookmarkEnd w:id="40"/>
    <w:bookmarkEnd w:id="41"/>
    <w:p>
      <w:pPr>
        <w:pStyle w:val="FirstParagraph"/>
      </w:pPr>
      <w:bookmarkStart w:id="42" w:name="Install_manual.xhtml"/>
      <w:bookmarkEnd w:id="42"/>
    </w:p>
    <w:bookmarkStart w:id="48" w:name="Install_manual.xhtml#id1"/>
    <w:p>
      <w:pPr>
        <w:pStyle w:val="Heading1"/>
      </w:pPr>
      <w:r>
        <w:t xml:space="preserve">2. Инструкция по установке</w:t>
      </w:r>
    </w:p>
    <w:p>
      <w:pPr>
        <w:pStyle w:val="FirstParagraph"/>
      </w:pPr>
      <w:r>
        <w:rPr>
          <w:b/>
        </w:rPr>
        <w:t xml:space="preserve">Шаг1</w:t>
      </w:r>
      <w:r>
        <w:t xml:space="preserve"> </w:t>
      </w:r>
      <w:r>
        <w:t xml:space="preserve">При необходимости, установить Arta Synergy (trunk.4.0-r1~190301.195857 (hamming)) и выше</w:t>
      </w:r>
      <w:r>
        <w:t xml:space="preserve"> </w:t>
      </w:r>
      <w:hyperlink r:id="rId43">
        <w:r>
          <w:rPr>
            <w:rStyle w:val="Hyperlink"/>
          </w:rPr>
          <w:t xml:space="preserve">Инструкция по установке ARTA SYNERGY</w:t>
        </w:r>
      </w:hyperlink>
      <w:r>
        <w:t xml:space="preserve"> </w:t>
      </w:r>
      <w:r>
        <w:t xml:space="preserve">[http://tdd.lan.arta.kz/docs/synergy/trunk/admin-manual/html/install-and-setup.html]</w:t>
      </w:r>
      <w:r>
        <w:t xml:space="preserve">.</w:t>
      </w:r>
    </w:p>
    <w:p>
      <w:pPr>
        <w:pStyle w:val="BodyText"/>
      </w:pPr>
      <w:r>
        <w:rPr>
          <w:b/>
        </w:rPr>
        <w:t xml:space="preserve">Шаг2</w:t>
      </w:r>
      <w:r>
        <w:t xml:space="preserve"> </w:t>
      </w:r>
      <w:r>
        <w:t xml:space="preserve">Для использования Дашбордов установить Elasticsearch и Kibana</w:t>
      </w:r>
      <w:r>
        <w:t xml:space="preserve"> </w:t>
      </w:r>
      <w:hyperlink r:id="rId44">
        <w:r>
          <w:rPr>
            <w:rStyle w:val="Hyperlink"/>
          </w:rPr>
          <w:t xml:space="preserve">Инструкция по установке</w:t>
        </w:r>
      </w:hyperlink>
      <w:r>
        <w:t xml:space="preserve"> </w:t>
      </w:r>
      <w:r>
        <w:t xml:space="preserve">[http://tdd.lan.arta.kz/docs/synergy/trunk/admin-manual/html/appendix.dashboards.html]</w:t>
      </w:r>
      <w:r>
        <w:t xml:space="preserve">.</w:t>
      </w:r>
    </w:p>
    <w:p>
      <w:pPr>
        <w:pStyle w:val="BodyText"/>
      </w:pPr>
      <w:r>
        <w:rPr>
          <w:b/>
        </w:rPr>
        <w:t xml:space="preserve">Шаг3</w:t>
      </w:r>
      <w:r>
        <w:t xml:space="preserve"> </w:t>
      </w:r>
      <w:r>
        <w:t xml:space="preserve">в подсистеме администрирования обновить БД и процессы, завести Системного пользователя</w:t>
      </w:r>
    </w:p>
    <w:p>
      <w:pPr>
        <w:pStyle w:val="BlockText"/>
        <w:numPr>
          <w:numId w:val="1017"/>
          <w:ilvl w:val="0"/>
        </w:numPr>
      </w:pPr>
      <w:r>
        <w:t xml:space="preserve">код пользователя -</w:t>
      </w:r>
      <w:r>
        <w:t xml:space="preserve"> </w:t>
      </w:r>
      <w:r>
        <w:rPr>
          <w:rStyle w:val="VerbatimChar"/>
        </w:rPr>
        <w:t xml:space="preserve">itsm_service_user</w:t>
      </w:r>
    </w:p>
    <w:p>
      <w:pPr>
        <w:pStyle w:val="BlockText"/>
        <w:numPr>
          <w:numId w:val="1017"/>
          <w:ilvl w:val="0"/>
        </w:numPr>
      </w:pPr>
      <w:r>
        <w:t xml:space="preserve">роли</w:t>
      </w:r>
      <w:r>
        <w:t xml:space="preserve"> </w:t>
      </w:r>
      <w:r>
        <w:rPr>
          <w:rStyle w:val="VerbatimChar"/>
        </w:rPr>
        <w:t xml:space="preserve">Администратор</w:t>
      </w:r>
      <w:r>
        <w:t xml:space="preserve"> </w:t>
      </w:r>
      <w:r>
        <w:t xml:space="preserve">,</w:t>
      </w:r>
      <w:r>
        <w:t xml:space="preserve"> </w:t>
      </w:r>
      <w:r>
        <w:rPr>
          <w:rStyle w:val="VerbatimChar"/>
        </w:rPr>
        <w:t xml:space="preserve">Разработчик Synergy</w:t>
      </w:r>
    </w:p>
    <w:p>
      <w:pPr>
        <w:pStyle w:val="BlockText"/>
        <w:numPr>
          <w:numId w:val="1017"/>
          <w:ilvl w:val="0"/>
        </w:numPr>
      </w:pPr>
      <w:r>
        <w:t xml:space="preserve">доступ в систему - разрешен</w:t>
      </w:r>
    </w:p>
    <w:p>
      <w:pPr>
        <w:pStyle w:val="BlockText"/>
        <w:numPr>
          <w:numId w:val="1017"/>
          <w:ilvl w:val="0"/>
        </w:numPr>
      </w:pPr>
      <w:r>
        <w:t xml:space="preserve">задать логин/пароль</w:t>
      </w:r>
    </w:p>
    <w:p>
      <w:pPr>
        <w:pStyle w:val="FirstParagraph"/>
      </w:pPr>
      <w:r>
        <w:rPr>
          <w:b/>
        </w:rPr>
        <w:t xml:space="preserve">Шаг4</w:t>
      </w:r>
      <w:r>
        <w:t xml:space="preserve"> </w:t>
      </w:r>
      <w:r>
        <w:t xml:space="preserve">Подключение репозиториев</w:t>
      </w:r>
    </w:p>
    <w:p>
      <w:pPr>
        <w:numPr>
          <w:numId w:val="1018"/>
          <w:ilvl w:val="0"/>
        </w:numPr>
      </w:pPr>
      <w:r>
        <w:t xml:space="preserve">Открыть файл на редактирование</w:t>
      </w:r>
    </w:p>
    <w:p>
      <w:pPr>
        <w:pStyle w:val="SourceCode"/>
      </w:pPr>
      <w:r>
        <w:rPr>
          <w:rStyle w:val="VerbatimChar"/>
        </w:rPr>
        <w:t xml:space="preserve">nano /etc/apt/sources.list``</w:t>
      </w:r>
    </w:p>
    <w:p>
      <w:pPr>
        <w:numPr>
          <w:numId w:val="1019"/>
          <w:ilvl w:val="0"/>
        </w:numPr>
      </w:pPr>
      <w:r>
        <w:t xml:space="preserve">Добавить либо раскомментировать строку репозитория.</w:t>
      </w:r>
    </w:p>
    <w:p>
      <w:pPr>
        <w:pStyle w:val="SourceCode"/>
      </w:pPr>
      <w:r>
        <w:rPr>
          <w:rStyle w:val="VerbatimChar"/>
        </w:rPr>
        <w:t xml:space="preserve">deb [allow-insecure=yes] http://deb.arta.kz/tengri          itsm-1.0         main contrib non-free</w:t>
      </w:r>
    </w:p>
    <w:p>
      <w:pPr>
        <w:numPr>
          <w:numId w:val="1020"/>
          <w:ilvl w:val="0"/>
        </w:numPr>
      </w:pPr>
      <w:r>
        <w:t xml:space="preserve">Обновить списки пакетов:</w:t>
      </w:r>
    </w:p>
    <w:p>
      <w:pPr>
        <w:pStyle w:val="SourceCode"/>
      </w:pPr>
      <w:r>
        <w:rPr>
          <w:rStyle w:val="VerbatimChar"/>
        </w:rPr>
        <w:t xml:space="preserve">apt-get update</w:t>
      </w:r>
    </w:p>
    <w:p>
      <w:pPr>
        <w:pStyle w:val="FirstParagraph"/>
      </w:pPr>
      <w:r>
        <w:rPr>
          <w:b/>
        </w:rPr>
        <w:t xml:space="preserve">Шаг5</w:t>
      </w:r>
      <w:r>
        <w:t xml:space="preserve"> </w:t>
      </w:r>
      <w:r>
        <w:t xml:space="preserve">Установка приложения</w:t>
      </w:r>
    </w:p>
    <w:p>
      <w:pPr>
        <w:numPr>
          <w:numId w:val="1021"/>
          <w:ilvl w:val="0"/>
        </w:numPr>
      </w:pPr>
      <w:r>
        <w:t xml:space="preserve">Для установки приложения необходимо выполнить команду:</w:t>
      </w:r>
    </w:p>
    <w:p>
      <w:pPr>
        <w:pStyle w:val="SourceCode"/>
      </w:pPr>
      <w:r>
        <w:rPr>
          <w:rStyle w:val="VerbatimChar"/>
        </w:rPr>
        <w:t xml:space="preserve">apt-get install arta-synergy-apps-itsm</w:t>
      </w:r>
    </w:p>
    <w:p>
      <w:pPr>
        <w:numPr>
          <w:numId w:val="1022"/>
          <w:ilvl w:val="0"/>
        </w:numPr>
      </w:pPr>
      <w:r>
        <w:t xml:space="preserve">В ходе установки необходимо выполнить следующее:</w:t>
      </w:r>
    </w:p>
    <w:p>
      <w:pPr>
        <w:pStyle w:val="DefinitionTerm"/>
        <w:numPr>
          <w:numId w:val="1023"/>
          <w:ilvl w:val="0"/>
        </w:numPr>
      </w:pPr>
      <w:r>
        <w:t xml:space="preserve">Выбрать тип установки из предложенного списка</w:t>
      </w:r>
    </w:p>
    <w:p>
      <w:pPr>
        <w:pStyle w:val="Definition"/>
        <w:numPr>
          <w:numId w:val="1024"/>
          <w:ilvl w:val="1"/>
        </w:numPr>
      </w:pPr>
      <w:r>
        <w:t xml:space="preserve">Install/Upgrade Configuration - установка приложения и загрузка его конфигурации (без БД, хранилища, индексов и дашбордов)</w:t>
      </w:r>
    </w:p>
    <w:p>
      <w:pPr>
        <w:pStyle w:val="Definition"/>
        <w:numPr>
          <w:numId w:val="1024"/>
          <w:ilvl w:val="1"/>
        </w:numPr>
      </w:pPr>
      <w:r>
        <w:t xml:space="preserve">Manual - установка только приложения без автоматической загрузки конфигурации, дашбордов и всего остального</w:t>
      </w:r>
    </w:p>
    <w:p>
      <w:pPr>
        <w:numPr>
          <w:numId w:val="1023"/>
          <w:ilvl w:val="0"/>
        </w:numPr>
      </w:pPr>
      <w:r>
        <w:t xml:space="preserve">Указать URL до Synergy, на котором производится работа (например:</w:t>
      </w:r>
      <w:r>
        <w:t xml:space="preserve"> </w:t>
      </w:r>
      <w:r>
        <w:rPr>
          <w:rStyle w:val="VerbatimChar"/>
        </w:rPr>
        <w:t xml:space="preserve">http://192.168.1.172:8080/Synergy</w:t>
      </w:r>
      <w:r>
        <w:t xml:space="preserve">)</w:t>
      </w:r>
    </w:p>
    <w:p>
      <w:pPr>
        <w:numPr>
          <w:numId w:val="1023"/>
          <w:ilvl w:val="0"/>
        </w:numPr>
      </w:pPr>
      <w:r>
        <w:t xml:space="preserve">Ввести последовательно логин и пароль Системного пользователя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Для предотвращения дальнейшей нечаянной установки нестабильных версий пакетов из репозитория</w:t>
      </w:r>
      <w:r>
        <w:t xml:space="preserve"> </w:t>
      </w:r>
      <w:r>
        <w:rPr>
          <w:rStyle w:val="VerbatimChar"/>
        </w:rPr>
        <w:t xml:space="preserve">unstable</w:t>
      </w:r>
      <w:r>
        <w:t xml:space="preserve">,</w:t>
      </w:r>
      <w:r>
        <w:t xml:space="preserve"> </w:t>
      </w:r>
      <w:r>
        <w:t xml:space="preserve">после установки</w:t>
      </w:r>
      <w:r>
        <w:t xml:space="preserve"> </w:t>
      </w:r>
      <w:r>
        <w:rPr>
          <w:rStyle w:val="VerbatimChar"/>
        </w:rPr>
        <w:t xml:space="preserve">arta-synergy-apps-itsm</w:t>
      </w:r>
      <w:r>
        <w:t xml:space="preserve"> </w:t>
      </w:r>
      <w:r>
        <w:t xml:space="preserve">рекомендуется его закомментировать в том же файле</w:t>
      </w:r>
      <w:r>
        <w:t xml:space="preserve"> </w:t>
      </w:r>
      <w:r>
        <w:rPr>
          <w:rStyle w:val="VerbatimChar"/>
        </w:rPr>
        <w:t xml:space="preserve">/etc/apt/sources.list</w:t>
      </w:r>
    </w:p>
    <w:bookmarkStart w:id="46" w:name="Install_manual.xhtml#id3"/>
    <w:p>
      <w:pPr>
        <w:pStyle w:val="Heading2"/>
      </w:pPr>
      <w:r>
        <w:t xml:space="preserve">2.1. Для работоспособности личного кабинета необходимо</w:t>
      </w:r>
    </w:p>
    <w:p>
      <w:pPr>
        <w:numPr>
          <w:numId w:val="1025"/>
          <w:ilvl w:val="0"/>
        </w:numPr>
      </w:pPr>
      <w:r>
        <w:t xml:space="preserve">В файле</w:t>
      </w:r>
      <w:r>
        <w:t xml:space="preserve"> </w:t>
      </w:r>
      <w:r>
        <w:rPr>
          <w:rStyle w:val="VerbatimChar"/>
        </w:rPr>
        <w:t xml:space="preserve">/etc/nginx/sites-enabled/synergy-base</w:t>
      </w:r>
      <w:r>
        <w:t xml:space="preserve"> </w:t>
      </w:r>
      <w:r>
        <w:t xml:space="preserve">добавить следующее:</w:t>
      </w:r>
    </w:p>
    <w:p>
      <w:pPr>
        <w:pStyle w:val="SourceCode"/>
      </w:pPr>
      <w:r>
        <w:rPr>
          <w:rStyle w:val="VerbatimChar"/>
        </w:rPr>
        <w:t xml:space="preserve">location /itsm {</w:t>
      </w:r>
      <w:r>
        <w:br w:type="textWrapping"/>
      </w:r>
      <w:r>
        <w:br w:type="textWrapping"/>
      </w:r>
      <w:r>
        <w:rPr>
          <w:rStyle w:val="VerbatimChar"/>
        </w:rPr>
        <w:t xml:space="preserve">allow                       all;</w:t>
      </w:r>
      <w:r>
        <w:br w:type="textWrapping"/>
      </w:r>
      <w:r>
        <w:br w:type="textWrapping"/>
      </w:r>
      <w:r>
        <w:rPr>
          <w:rStyle w:val="VerbatimChar"/>
        </w:rPr>
        <w:t xml:space="preserve">proxy_pass          http://127.0.0.1:8080/itsm;</w:t>
      </w:r>
      <w:r>
        <w:br w:type="textWrapping"/>
      </w:r>
      <w:r>
        <w:br w:type="textWrapping"/>
      </w:r>
      <w:r>
        <w:rPr>
          <w:rStyle w:val="VerbatimChar"/>
        </w:rPr>
        <w:t xml:space="preserve">proxy_set_header    Host       $host;</w:t>
      </w:r>
      <w:r>
        <w:br w:type="textWrapping"/>
      </w:r>
      <w:r>
        <w:br w:type="textWrapping"/>
      </w:r>
      <w:r>
        <w:rPr>
          <w:rStyle w:val="VerbatimChar"/>
        </w:rPr>
        <w:t xml:space="preserve">proxy_set_header    X-Real-IP  $remote_addr;</w:t>
      </w:r>
      <w:r>
        <w:br w:type="textWrapping"/>
      </w:r>
      <w:r>
        <w:br w:type="textWrapping"/>
      </w:r>
      <w:r>
        <w:rPr>
          <w:rStyle w:val="VerbatimChar"/>
        </w:rPr>
        <w:t xml:space="preserve">}</w:t>
      </w:r>
    </w:p>
    <w:p>
      <w:pPr>
        <w:numPr>
          <w:numId w:val="1026"/>
          <w:ilvl w:val="0"/>
        </w:numPr>
      </w:pPr>
      <w:r>
        <w:t xml:space="preserve">Проверить наличие очередей и их слушателей для ITSM в двух файлах:</w:t>
      </w:r>
    </w:p>
    <w:p>
      <w:pPr>
        <w:pStyle w:val="FirstParagraph"/>
      </w:pPr>
      <w:r>
        <w:rPr>
          <w:rStyle w:val="VerbatimChar"/>
        </w:rPr>
        <w:t xml:space="preserve">/opt/synergy/jboss/standalone/configuration/standalone-onesynergy.xml</w:t>
      </w:r>
    </w:p>
    <w:p>
      <w:pPr>
        <w:pStyle w:val="SourceCode"/>
      </w:pPr>
      <w:r>
        <w:rPr>
          <w:rStyle w:val="VerbatimChar"/>
        </w:rPr>
        <w:t xml:space="preserve">&lt;jms-queue name="ItsmFormChangeQueue"&gt;</w:t>
      </w:r>
      <w:r>
        <w:br w:type="textWrapping"/>
      </w:r>
      <w:r>
        <w:rPr>
          <w:rStyle w:val="VerbatimChar"/>
        </w:rPr>
        <w:t xml:space="preserve">    &lt;entry name="java:jboss/queues/Integration/ItsmFormChangeQueue"/&gt;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&lt;durable&gt;true&lt;/durable&gt;</w:t>
      </w:r>
      <w:r>
        <w:br w:type="textWrapping"/>
      </w:r>
      <w:r>
        <w:rPr>
          <w:rStyle w:val="VerbatimChar"/>
        </w:rPr>
        <w:t xml:space="preserve">&lt;/jms-queue&gt;</w:t>
      </w:r>
      <w:r>
        <w:br w:type="textWrapping"/>
      </w:r>
      <w:r>
        <w:br w:type="textWrapping"/>
      </w:r>
      <w:r>
        <w:rPr>
          <w:rStyle w:val="VerbatimChar"/>
        </w:rPr>
        <w:t xml:space="preserve">&lt;jms-queue name="ItsmBlockingQueue"&gt;</w:t>
      </w:r>
      <w:r>
        <w:br w:type="textWrapping"/>
      </w:r>
      <w:r>
        <w:rPr>
          <w:rStyle w:val="VerbatimChar"/>
        </w:rPr>
        <w:t xml:space="preserve">    &lt;entry name="java:jboss/queues/Integration/ItsmBlockingQueue"/&gt;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&lt;durable&gt;true&lt;/durable&gt;</w:t>
      </w:r>
      <w:r>
        <w:br w:type="textWrapping"/>
      </w:r>
      <w:r>
        <w:rPr>
          <w:rStyle w:val="VerbatimChar"/>
        </w:rPr>
        <w:t xml:space="preserve">&lt;/jms-queue&gt;</w:t>
      </w:r>
      <w:r>
        <w:br w:type="textWrapping"/>
      </w:r>
      <w:r>
        <w:br w:type="textWrapping"/>
      </w:r>
      <w:r>
        <w:rPr>
          <w:rStyle w:val="VerbatimChar"/>
        </w:rPr>
        <w:t xml:space="preserve">&lt;jms-queue name="ItsmCallback_1"&gt;</w:t>
      </w:r>
      <w:r>
        <w:br w:type="textWrapping"/>
      </w:r>
      <w:r>
        <w:rPr>
          <w:rStyle w:val="VerbatimChar"/>
        </w:rPr>
        <w:t xml:space="preserve">    &lt;entry name="java:jboss/queues/Integration/ItsmCallback_1"/&gt;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&lt;durable&gt;true&lt;/durable&gt;</w:t>
      </w:r>
      <w:r>
        <w:br w:type="textWrapping"/>
      </w:r>
      <w:r>
        <w:rPr>
          <w:rStyle w:val="VerbatimChar"/>
        </w:rPr>
        <w:t xml:space="preserve">&lt;/jms-queue&gt;</w:t>
      </w:r>
    </w:p>
    <w:p>
      <w:pPr>
        <w:pStyle w:val="FirstParagraph"/>
      </w:pPr>
      <w:r>
        <w:rPr>
          <w:rStyle w:val="VerbatimChar"/>
        </w:rPr>
        <w:t xml:space="preserve">/opt/synergy/jboss/standalone/configuration/arta/api-observation-configuration.xml</w:t>
      </w:r>
    </w:p>
    <w:p>
      <w:pPr>
        <w:pStyle w:val="SourceCode"/>
      </w:pPr>
      <w:r>
        <w:rPr>
          <w:rStyle w:val="VerbatimChar"/>
        </w:rPr>
        <w:t xml:space="preserve">&lt;listener&gt;</w:t>
      </w:r>
      <w:r>
        <w:br w:type="textWrapping"/>
      </w:r>
      <w:r>
        <w:rPr>
          <w:rStyle w:val="VerbatimChar"/>
        </w:rPr>
        <w:t xml:space="preserve">    &lt;queue&gt;java:jboss/queues/Integration/ItsmBlockingQueue&lt;/queue&gt;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&lt;event&gt;event.blocking.itsm.*&lt;/event&gt;</w:t>
      </w:r>
      <w:r>
        <w:br w:type="textWrapping"/>
      </w:r>
      <w:r>
        <w:rPr>
          <w:rStyle w:val="VerbatimChar"/>
        </w:rPr>
        <w:t xml:space="preserve">&lt;/listener&gt;</w:t>
      </w:r>
      <w:r>
        <w:br w:type="textWrapping"/>
      </w:r>
      <w:r>
        <w:br w:type="textWrapping"/>
      </w:r>
      <w:r>
        <w:rPr>
          <w:rStyle w:val="VerbatimChar"/>
        </w:rPr>
        <w:t xml:space="preserve">&lt;listener&gt;</w:t>
      </w:r>
      <w:r>
        <w:br w:type="textWrapping"/>
      </w:r>
      <w:r>
        <w:rPr>
          <w:rStyle w:val="VerbatimChar"/>
        </w:rPr>
        <w:t xml:space="preserve">    &lt;queue&gt;java:jboss/queues/Integration/ItsmBlockingQueue&lt;/queue&gt;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&lt;event&gt;event.blocking.incident.*&lt;/event&gt;</w:t>
      </w:r>
      <w:r>
        <w:br w:type="textWrapping"/>
      </w:r>
      <w:r>
        <w:rPr>
          <w:rStyle w:val="VerbatimChar"/>
        </w:rPr>
        <w:t xml:space="preserve">&lt;/listener&gt;</w:t>
      </w:r>
      <w:r>
        <w:br w:type="textWrapping"/>
      </w:r>
      <w:r>
        <w:br w:type="textWrapping"/>
      </w:r>
      <w:r>
        <w:rPr>
          <w:rStyle w:val="VerbatimChar"/>
        </w:rPr>
        <w:t xml:space="preserve">&lt;listener&gt;</w:t>
      </w:r>
      <w:r>
        <w:br w:type="textWrapping"/>
      </w:r>
      <w:r>
        <w:rPr>
          <w:rStyle w:val="VerbatimChar"/>
        </w:rPr>
        <w:t xml:space="preserve">    &lt;queue&gt;java:jboss/queues/Integration/ItsmBlockingQueue&lt;/queue&gt;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&lt;event&gt;event.blocking.problem.*&lt;/event&gt;</w:t>
      </w:r>
      <w:r>
        <w:br w:type="textWrapping"/>
      </w:r>
      <w:r>
        <w:rPr>
          <w:rStyle w:val="VerbatimChar"/>
        </w:rPr>
        <w:t xml:space="preserve">&lt;/listener&gt;</w:t>
      </w:r>
    </w:p>
    <w:p>
      <w:pPr>
        <w:numPr>
          <w:numId w:val="1027"/>
          <w:ilvl w:val="0"/>
        </w:numPr>
      </w:pPr>
      <w:r>
        <w:t xml:space="preserve">Кроме того, удостоверьтесь, что конфигурационный файл</w:t>
      </w:r>
      <w:r>
        <w:t xml:space="preserve"> </w:t>
      </w:r>
      <w:r>
        <w:rPr>
          <w:rStyle w:val="VerbatimChar"/>
        </w:rPr>
        <w:t xml:space="preserve">/opt/synergy/jboss/standalone/configuration/itsm.properties</w:t>
      </w:r>
      <w:r>
        <w:t xml:space="preserve"> </w:t>
      </w:r>
      <w:r>
        <w:t xml:space="preserve">содержит следующие строки (только с Вашими данными):</w:t>
      </w:r>
    </w:p>
    <w:p>
      <w:pPr>
        <w:pStyle w:val="SourceCode"/>
      </w:pPr>
      <w:r>
        <w:rPr>
          <w:rStyle w:val="VerbatimChar"/>
        </w:rPr>
        <w:t xml:space="preserve">login=1</w:t>
      </w:r>
      <w:r>
        <w:br w:type="textWrapping"/>
      </w:r>
      <w:r>
        <w:br w:type="textWrapping"/>
      </w:r>
      <w:r>
        <w:rPr>
          <w:rStyle w:val="VerbatimChar"/>
        </w:rPr>
        <w:t xml:space="preserve">password=1</w:t>
      </w:r>
      <w:r>
        <w:br w:type="textWrapping"/>
      </w:r>
      <w:r>
        <w:br w:type="textWrapping"/>
      </w:r>
      <w:r>
        <w:rPr>
          <w:rStyle w:val="VerbatimChar"/>
        </w:rPr>
        <w:t xml:space="preserve">address=http://127.0.0.1:8080/Synergy</w:t>
      </w:r>
      <w:r>
        <w:br w:type="textWrapping"/>
      </w:r>
      <w:r>
        <w:br w:type="textWrapping"/>
      </w:r>
      <w:r>
        <w:rPr>
          <w:rStyle w:val="VerbatimChar"/>
        </w:rPr>
        <w:t xml:space="preserve">public_address=http://192.168.1.172:8080/Synergy</w:t>
      </w:r>
    </w:p>
    <w:p>
      <w:pPr>
        <w:pStyle w:val="FirstParagraph"/>
      </w:pPr>
      <w:r>
        <w:t xml:space="preserve">Совет</w:t>
      </w:r>
    </w:p>
    <w:p>
      <w:pPr>
        <w:pStyle w:val="BodyText"/>
      </w:pPr>
      <w:r>
        <w:t xml:space="preserve">Проверь себя, выполни</w:t>
      </w:r>
      <w:r>
        <w:t xml:space="preserve"> </w:t>
      </w:r>
      <w:hyperlink r:id="rId45">
        <w:r>
          <w:rPr>
            <w:rStyle w:val="Hyperlink"/>
          </w:rPr>
          <w:t xml:space="preserve">Задание_2</w:t>
        </w:r>
      </w:hyperlink>
      <w:r>
        <w:t xml:space="preserve"> </w:t>
      </w:r>
      <w:r>
        <w:t xml:space="preserve">[http://rtd.lan.arta.kz/docs/itsm-custom-maual/ru/latest/Task_2.html]</w:t>
      </w:r>
    </w:p>
    <w:bookmarkEnd w:id="46"/>
    <w:bookmarkStart w:id="47" w:name="Install_manual.xhtml#manual"/>
    <w:p>
      <w:pPr>
        <w:pStyle w:val="Heading2"/>
      </w:pPr>
      <w:r>
        <w:t xml:space="preserve">2.2. В случае установки в режиме Manual</w:t>
      </w:r>
    </w:p>
    <w:p>
      <w:pPr>
        <w:pStyle w:val="FirstParagraph"/>
      </w:pPr>
      <w:r>
        <w:t xml:space="preserve">1.Импортировать приложение /opt/synergy/apps/itsm/itsm_application.7zip</w:t>
      </w:r>
    </w:p>
    <w:p>
      <w:pPr>
        <w:pStyle w:val="BodyText"/>
      </w:pPr>
      <w:r>
        <w:t xml:space="preserve">Предупреждение</w:t>
      </w:r>
    </w:p>
    <w:p>
      <w:pPr>
        <w:pStyle w:val="BodyText"/>
      </w:pPr>
      <w:r>
        <w:t xml:space="preserve">Для работоспособности приложения в дальнейшем, необходимо убедиться, что elastic запущен. В противном случае может быть проблема с невозможностью создать запись реестра.</w:t>
      </w:r>
      <w:r>
        <w:t xml:space="preserve"> </w:t>
      </w:r>
      <w:r>
        <w:t xml:space="preserve">Для предотвращения необходимо выполнить команду:</w:t>
      </w:r>
      <w:r>
        <w:t xml:space="preserve"> </w:t>
      </w:r>
      <w:r>
        <w:t xml:space="preserve">/etc/init.d/elasticsearch start</w:t>
      </w:r>
    </w:p>
    <w:bookmarkEnd w:id="47"/>
    <w:bookmarkEnd w:id="48"/>
    <w:p>
      <w:pPr>
        <w:pStyle w:val="BodyText"/>
      </w:pPr>
      <w:bookmarkStart w:id="49" w:name="First_configuration.xhtml"/>
      <w:bookmarkEnd w:id="49"/>
    </w:p>
    <w:bookmarkStart w:id="57" w:name="First_configuration.xhtml#id1"/>
    <w:p>
      <w:pPr>
        <w:pStyle w:val="Heading1"/>
      </w:pPr>
      <w:r>
        <w:t xml:space="preserve">3. Первичные настройки</w:t>
      </w:r>
    </w:p>
    <w:bookmarkStart w:id="55" w:name="First_configuration.xhtml#id2"/>
    <w:p>
      <w:pPr>
        <w:pStyle w:val="Heading2"/>
      </w:pPr>
      <w:r>
        <w:t xml:space="preserve">3.1. Для общей работоспособности</w:t>
      </w:r>
    </w:p>
    <w:p>
      <w:pPr>
        <w:pStyle w:val="DefinitionTerm"/>
      </w:pPr>
      <w:r>
        <w:t xml:space="preserve">В подсистеме администрирования:</w:t>
      </w:r>
    </w:p>
    <w:p>
      <w:pPr>
        <w:pStyle w:val="Definition"/>
        <w:numPr>
          <w:numId w:val="1028"/>
          <w:ilvl w:val="0"/>
        </w:numPr>
      </w:pPr>
      <w:r>
        <w:t xml:space="preserve">обновить БД и процессы</w:t>
      </w:r>
    </w:p>
    <w:p>
      <w:pPr>
        <w:pStyle w:val="DefinitionTerm"/>
        <w:pStyle w:val="Definition"/>
        <w:numPr>
          <w:numId w:val="1028"/>
          <w:ilvl w:val="0"/>
        </w:numPr>
      </w:pPr>
      <w:r>
        <w:t xml:space="preserve">завести пользователей и орг.структуру (Либо настроить синхронизацию с AD), в которой будут:</w:t>
      </w:r>
    </w:p>
    <w:p>
      <w:pPr>
        <w:pStyle w:val="Definition"/>
        <w:pStyle w:val="Definition"/>
        <w:numPr>
          <w:numId w:val="1029"/>
          <w:ilvl w:val="1"/>
        </w:numPr>
      </w:pPr>
      <w:r>
        <w:t xml:space="preserve">Системный пользователь (создается до установки Synergy ITSM, должен быть назначен на должность)</w:t>
      </w:r>
    </w:p>
    <w:p>
      <w:pPr>
        <w:pStyle w:val="Definition"/>
        <w:pStyle w:val="Definition"/>
        <w:numPr>
          <w:numId w:val="1029"/>
          <w:ilvl w:val="1"/>
        </w:numPr>
      </w:pPr>
      <w:r>
        <w:t xml:space="preserve">Инициаторы обращений</w:t>
      </w:r>
    </w:p>
    <w:p>
      <w:pPr>
        <w:pStyle w:val="Definition"/>
        <w:pStyle w:val="Definition"/>
        <w:numPr>
          <w:numId w:val="1029"/>
          <w:ilvl w:val="1"/>
        </w:numPr>
      </w:pPr>
      <w:r>
        <w:t xml:space="preserve">Операторы Первой линии</w:t>
      </w:r>
    </w:p>
    <w:p>
      <w:pPr>
        <w:pStyle w:val="Definition"/>
        <w:pStyle w:val="Definition"/>
        <w:numPr>
          <w:numId w:val="1029"/>
          <w:ilvl w:val="1"/>
        </w:numPr>
      </w:pPr>
      <w:r>
        <w:t xml:space="preserve">Исполнители Второй линии (Количество уровней исполнения можно увеличить).</w:t>
      </w:r>
    </w:p>
    <w:p>
      <w:pPr>
        <w:pStyle w:val="DefinitionTerm"/>
        <w:pStyle w:val="Definition"/>
        <w:numPr>
          <w:numId w:val="1028"/>
          <w:ilvl w:val="0"/>
        </w:numPr>
      </w:pPr>
      <w:r>
        <w:t xml:space="preserve">Добавить пользователей в группы:</w:t>
      </w:r>
    </w:p>
    <w:p>
      <w:pPr>
        <w:pStyle w:val="Definition"/>
        <w:pStyle w:val="Definition"/>
        <w:numPr>
          <w:numId w:val="1030"/>
          <w:ilvl w:val="1"/>
        </w:numPr>
      </w:pPr>
      <w:r>
        <w:t xml:space="preserve">Первая линия - всех операторов первой линии</w:t>
      </w:r>
    </w:p>
    <w:p>
      <w:pPr>
        <w:pStyle w:val="Definition"/>
        <w:pStyle w:val="Definition"/>
        <w:numPr>
          <w:numId w:val="1030"/>
          <w:ilvl w:val="1"/>
        </w:numPr>
      </w:pPr>
      <w:r>
        <w:t xml:space="preserve">Вторая линия - всех исполнителей второй линии</w:t>
      </w:r>
    </w:p>
    <w:p>
      <w:pPr>
        <w:pStyle w:val="Definition"/>
        <w:pStyle w:val="Definition"/>
        <w:numPr>
          <w:numId w:val="1030"/>
          <w:ilvl w:val="1"/>
        </w:numPr>
      </w:pPr>
      <w:r>
        <w:t xml:space="preserve">itsm_group_reassign_access - Пользователи, которым предоставляется доступ к Переназначению обращений, находящихся на исполнении.</w:t>
      </w:r>
    </w:p>
    <w:p>
      <w:pPr>
        <w:pStyle w:val="Definition"/>
        <w:pStyle w:val="Definition"/>
        <w:numPr>
          <w:numId w:val="1030"/>
          <w:ilvl w:val="1"/>
        </w:numPr>
      </w:pPr>
      <w:r>
        <w:t xml:space="preserve">itsm_group_admin - Администраторы и системный пользователь.</w:t>
      </w:r>
    </w:p>
    <w:p>
      <w:pPr>
        <w:pStyle w:val="FirstParagraph"/>
      </w:pPr>
      <w:r>
        <w:t xml:space="preserve">В Конфигураторе:</w:t>
      </w:r>
    </w:p>
    <w:p>
      <w:pPr>
        <w:numPr>
          <w:numId w:val="1031"/>
          <w:ilvl w:val="0"/>
        </w:numPr>
      </w:pPr>
      <w:r>
        <w:t xml:space="preserve">В справочник Форм завершения добавить новый формы завершения обращения и проблемы следующим образом:</w:t>
      </w:r>
    </w:p>
    <w:bookmarkStart w:id="51" w:name="First_configuration.xhtml#id5"/>
    <w:p>
      <w:pPr>
        <w:pStyle w:val="Compact"/>
      </w:pPr>
      <w:r>
        <w:drawing>
          <wp:inline>
            <wp:extent cx="5334000" cy="2335161"/>
            <wp:effectExtent b="0" l="0" r="0" t="0"/>
            <wp:docPr descr="_images/Configurator_wcf.png" title="" id="1" name="Picture"/>
            <a:graphic>
              <a:graphicData uri="http://schemas.openxmlformats.org/drawingml/2006/picture">
                <pic:pic>
                  <pic:nvPicPr>
                    <pic:cNvPr descr="_images/Configurator_wcf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351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51"/>
    <w:bookmarkStart w:id="53" w:name="First_configuration.xhtml#id6"/>
    <w:p>
      <w:pPr>
        <w:pStyle w:val="Compact"/>
      </w:pPr>
      <w:r>
        <w:drawing>
          <wp:inline>
            <wp:extent cx="5334000" cy="2178811"/>
            <wp:effectExtent b="0" l="0" r="0" t="0"/>
            <wp:docPr descr="_images/Configurator_wcf_problem.png" title="" id="1" name="Picture"/>
            <a:graphic>
              <a:graphicData uri="http://schemas.openxmlformats.org/drawingml/2006/picture">
                <pic:pic>
                  <pic:nvPicPr>
                    <pic:cNvPr descr="_images/Configurator_wcf_problem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78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53"/>
    <w:p>
      <w:pPr>
        <w:pStyle w:val="DefinitionTerm"/>
        <w:numPr>
          <w:numId w:val="1032"/>
          <w:ilvl w:val="0"/>
        </w:numPr>
      </w:pPr>
      <w:r>
        <w:t xml:space="preserve">На формах:</w:t>
      </w:r>
    </w:p>
    <w:p>
      <w:pPr>
        <w:pStyle w:val="Definition"/>
        <w:numPr>
          <w:numId w:val="1033"/>
          <w:ilvl w:val="1"/>
        </w:numPr>
      </w:pPr>
      <w:r>
        <w:t xml:space="preserve">в форме “Обращение” вставить значения оператора, исполнителя, системного пользователя по умолчанию</w:t>
      </w:r>
    </w:p>
    <w:p>
      <w:pPr>
        <w:pStyle w:val="Definition"/>
        <w:numPr>
          <w:numId w:val="1033"/>
          <w:ilvl w:val="1"/>
        </w:numPr>
      </w:pPr>
      <w:r>
        <w:t xml:space="preserve">в форме “Проблема” вставить значения ответственного менеджера, руководителя, системного пользователя по умолчанию</w:t>
      </w:r>
    </w:p>
    <w:p>
      <w:pPr>
        <w:pStyle w:val="Definition"/>
        <w:numPr>
          <w:numId w:val="1033"/>
          <w:ilvl w:val="1"/>
        </w:numPr>
      </w:pPr>
      <w:r>
        <w:t xml:space="preserve">в форме “Изменение” вставить значение ответственного менеджера по умолчанию</w:t>
      </w:r>
    </w:p>
    <w:p>
      <w:pPr>
        <w:numPr>
          <w:numId w:val="1032"/>
          <w:ilvl w:val="0"/>
        </w:numPr>
      </w:pPr>
      <w:r>
        <w:t xml:space="preserve">Проверить/уточнить права на реестры</w:t>
      </w:r>
    </w:p>
    <w:p>
      <w:pPr>
        <w:numPr>
          <w:numId w:val="1032"/>
          <w:ilvl w:val="0"/>
        </w:numPr>
      </w:pPr>
      <w:r>
        <w:t xml:space="preserve">Сбросить значения счетчиков, либо при необходимости создать свои шаблоны номеров для идентификаторов и применить их в соответствующих формах</w:t>
      </w:r>
    </w:p>
    <w:p>
      <w:pPr>
        <w:numPr>
          <w:numId w:val="1032"/>
          <w:ilvl w:val="0"/>
        </w:numPr>
      </w:pPr>
      <w:r>
        <w:t xml:space="preserve">Прописать логин/пароль системного пользователя для всех скриптов Блокирующих процессов</w:t>
      </w:r>
    </w:p>
    <w:p>
      <w:pPr>
        <w:pStyle w:val="FirstParagraph"/>
      </w:pPr>
      <w:r>
        <w:t xml:space="preserve">Совет</w:t>
      </w:r>
    </w:p>
    <w:p>
      <w:pPr>
        <w:pStyle w:val="BodyText"/>
      </w:pPr>
      <w:r>
        <w:t xml:space="preserve">Проверь себя, выполни</w:t>
      </w:r>
      <w:r>
        <w:t xml:space="preserve"> </w:t>
      </w:r>
      <w:hyperlink r:id="rId54">
        <w:r>
          <w:rPr>
            <w:rStyle w:val="Hyperlink"/>
          </w:rPr>
          <w:t xml:space="preserve">Задание_3</w:t>
        </w:r>
      </w:hyperlink>
      <w:r>
        <w:t xml:space="preserve"> </w:t>
      </w:r>
      <w:r>
        <w:t xml:space="preserve">[http://rtd.lan.arta.kz/docs/itsm-custom-maual/ru/latest/Task_3.html]</w:t>
      </w:r>
    </w:p>
    <w:bookmarkEnd w:id="55"/>
    <w:bookmarkStart w:id="56" w:name="First_configuration.xhtml#id4"/>
    <w:p>
      <w:pPr>
        <w:pStyle w:val="Heading2"/>
      </w:pPr>
      <w:r>
        <w:t xml:space="preserve">3.2. Для работоспособности дашбордов:</w:t>
      </w:r>
    </w:p>
    <w:p>
      <w:pPr>
        <w:pStyle w:val="DefinitionTerm"/>
      </w:pPr>
      <w:r>
        <w:t xml:space="preserve">В интерфейсе Synergy:</w:t>
      </w:r>
    </w:p>
    <w:p>
      <w:pPr>
        <w:pStyle w:val="Definition"/>
        <w:numPr>
          <w:numId w:val="1034"/>
          <w:ilvl w:val="0"/>
        </w:numPr>
      </w:pPr>
      <w:r>
        <w:t xml:space="preserve">создать хотя бы по одной тестовой записи в реестрах “Обращения” и “Проблемы”</w:t>
      </w:r>
    </w:p>
    <w:p>
      <w:pPr>
        <w:pStyle w:val="DefinitionTerm"/>
      </w:pPr>
      <w:r>
        <w:t xml:space="preserve">В подсистеме администрирования:</w:t>
      </w:r>
    </w:p>
    <w:p>
      <w:pPr>
        <w:pStyle w:val="Definition"/>
        <w:numPr>
          <w:numId w:val="1035"/>
          <w:ilvl w:val="0"/>
        </w:numPr>
      </w:pPr>
      <w:r>
        <w:t xml:space="preserve">проиндексировать данные форм</w:t>
      </w:r>
    </w:p>
    <w:p>
      <w:pPr>
        <w:pStyle w:val="DefinitionTerm"/>
      </w:pPr>
      <w:r>
        <w:t xml:space="preserve">В конфигураторе:</w:t>
      </w:r>
    </w:p>
    <w:p>
      <w:pPr>
        <w:pStyle w:val="Definition"/>
        <w:numPr>
          <w:numId w:val="1036"/>
          <w:ilvl w:val="0"/>
        </w:numPr>
      </w:pPr>
      <w:r>
        <w:t xml:space="preserve">заменить во внешних модулях “Аналитика по инцидентам” и “Аналитика по проблемам” адрес приложения актуальной ссылкой на дашборды Kibana (достаточно изменить только IP-адрес и при необходимости порт)</w:t>
      </w:r>
    </w:p>
    <w:p>
      <w:pPr>
        <w:pStyle w:val="DefinitionTerm"/>
      </w:pPr>
      <w:r>
        <w:t xml:space="preserve">В Kibana:</w:t>
      </w:r>
    </w:p>
    <w:p>
      <w:pPr>
        <w:pStyle w:val="Definition"/>
        <w:numPr>
          <w:numId w:val="1037"/>
          <w:ilvl w:val="0"/>
        </w:numPr>
      </w:pPr>
      <w:r>
        <w:t xml:space="preserve">создать 2 шаблона индекса:</w:t>
      </w:r>
      <w:r>
        <w:t xml:space="preserve"> </w:t>
      </w:r>
      <w:r>
        <w:rPr>
          <w:rStyle w:val="VerbatimChar"/>
        </w:rPr>
        <w:t xml:space="preserve">r-itsm_registry_incidents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r-itsm_registry_problems</w:t>
      </w:r>
    </w:p>
    <w:p>
      <w:pPr>
        <w:pStyle w:val="Definition"/>
        <w:numPr>
          <w:numId w:val="1037"/>
          <w:ilvl w:val="0"/>
        </w:numPr>
      </w:pPr>
      <w:r>
        <w:t xml:space="preserve">импортировать в Kibana (Management -&gt; Saved Objects -&gt; Import) конфигурацию их 2-х дашбордов из файла …/configuration/arta/apps/sm_dashboards.json</w:t>
      </w:r>
    </w:p>
    <w:p>
      <w:pPr>
        <w:pStyle w:val="Definition"/>
        <w:numPr>
          <w:numId w:val="1037"/>
          <w:ilvl w:val="0"/>
        </w:numPr>
      </w:pPr>
      <w:r>
        <w:t xml:space="preserve">импортировать в Kibana (Management -&gt; Saved Objects -&gt; Import) конфигурацию из 27-и визуализаций из файла …/configuration/arta/apps/sm_visualizations.json</w:t>
      </w:r>
    </w:p>
    <w:p>
      <w:pPr>
        <w:pStyle w:val="Definition"/>
        <w:numPr>
          <w:numId w:val="1037"/>
          <w:ilvl w:val="0"/>
        </w:numPr>
      </w:pPr>
      <w:r>
        <w:t xml:space="preserve">проверить, что всё загрузилось, в дашбордах отсутствуют визуализации, помеченные «!» (при этом возможно наличие визуализаций со значениями “0”, “?”, “No results found”, и это всё не является ошибкой)</w:t>
      </w:r>
    </w:p>
    <w:p>
      <w:pPr>
        <w:pStyle w:val="DefinitionTerm"/>
      </w:pPr>
      <w:r>
        <w:t xml:space="preserve">В клиентской части:</w:t>
      </w:r>
    </w:p>
    <w:p>
      <w:pPr>
        <w:pStyle w:val="Definition"/>
        <w:numPr>
          <w:numId w:val="1038"/>
          <w:ilvl w:val="0"/>
        </w:numPr>
      </w:pPr>
      <w:r>
        <w:t xml:space="preserve">проверить работоспособность обоих дашбордов</w:t>
      </w:r>
    </w:p>
    <w:p>
      <w:pPr>
        <w:pStyle w:val="Definition"/>
        <w:numPr>
          <w:numId w:val="1038"/>
          <w:ilvl w:val="0"/>
        </w:numPr>
      </w:pPr>
      <w:r>
        <w:t xml:space="preserve">для работоспособности уведомлений на почту клиентам при их создании в реестре “Контакты” необходимо заполнить и поле e-mail</w:t>
      </w:r>
    </w:p>
    <w:p>
      <w:pPr>
        <w:pStyle w:val="Definition"/>
        <w:numPr>
          <w:numId w:val="1038"/>
          <w:ilvl w:val="0"/>
        </w:numPr>
      </w:pPr>
      <w:r>
        <w:t xml:space="preserve">для работоспособности уведомлений о просрочке времени SLA необходимо заполнить поле e-mail в настройках каждого специалиста сервиса</w:t>
      </w:r>
    </w:p>
    <w:bookmarkEnd w:id="56"/>
    <w:bookmarkEnd w:id="57"/>
    <w:p>
      <w:pPr>
        <w:pStyle w:val="FirstParagraph"/>
      </w:pPr>
      <w:bookmarkStart w:id="58" w:name="mail-integration.xhtml"/>
      <w:bookmarkEnd w:id="58"/>
    </w:p>
    <w:bookmarkStart w:id="74" w:name="mail-integration.xhtml#id1"/>
    <w:p>
      <w:pPr>
        <w:pStyle w:val="Heading1"/>
      </w:pPr>
      <w:r>
        <w:t xml:space="preserve">4. Настройка интеграции с почтой</w:t>
      </w:r>
    </w:p>
    <w:bookmarkStart w:id="67" w:name="mail-integration.xhtml#id2"/>
    <w:p>
      <w:pPr>
        <w:pStyle w:val="Heading2"/>
      </w:pPr>
      <w:r>
        <w:t xml:space="preserve">4.1. Уведомления</w:t>
      </w:r>
    </w:p>
    <w:p>
      <w:pPr>
        <w:numPr>
          <w:numId w:val="1039"/>
          <w:ilvl w:val="0"/>
        </w:numPr>
      </w:pPr>
      <w:r>
        <w:t xml:space="preserve">Для отправки уведомлений и получения, обрабротки обращений должен быть заведен специальный общий адрес электронной почты.</w:t>
      </w:r>
    </w:p>
    <w:p>
      <w:pPr>
        <w:numPr>
          <w:numId w:val="1039"/>
          <w:ilvl w:val="0"/>
        </w:numPr>
      </w:pPr>
      <w:r>
        <w:t xml:space="preserve">В приложении SynergyAdmin открыть вкладку «Настройки уведомлений» ввести парамтеры почты-отправителя уведомлений.</w:t>
      </w:r>
    </w:p>
    <w:bookmarkStart w:id="60" w:name="mail-integration.xhtml#id5"/>
    <w:p>
      <w:pPr>
        <w:pStyle w:val="Compact"/>
      </w:pPr>
      <w:r>
        <w:drawing>
          <wp:inline>
            <wp:extent cx="5334000" cy="4070874"/>
            <wp:effectExtent b="0" l="0" r="0" t="0"/>
            <wp:docPr descr="_images/MI_notification.png" title="" id="1" name="Picture"/>
            <a:graphic>
              <a:graphicData uri="http://schemas.openxmlformats.org/drawingml/2006/picture">
                <pic:pic>
                  <pic:nvPicPr>
                    <pic:cNvPr descr="_images/MI_notific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70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60"/>
    <w:p>
      <w:pPr>
        <w:numPr>
          <w:numId w:val="1040"/>
          <w:ilvl w:val="0"/>
        </w:numPr>
      </w:pPr>
      <w:r>
        <w:t xml:space="preserve">Для всех пользователей в структуре должны быть указаны email адрес в профиле пользователя.</w:t>
      </w:r>
    </w:p>
    <w:bookmarkStart w:id="62" w:name="mail-integration.xhtml#id6"/>
    <w:p>
      <w:pPr>
        <w:pStyle w:val="Compact"/>
      </w:pPr>
      <w:r>
        <w:drawing>
          <wp:inline>
            <wp:extent cx="5334000" cy="3624384"/>
            <wp:effectExtent b="0" l="0" r="0" t="0"/>
            <wp:docPr descr="_images/MI_notification_1.png" title="" id="1" name="Picture"/>
            <a:graphic>
              <a:graphicData uri="http://schemas.openxmlformats.org/drawingml/2006/picture">
                <pic:pic>
                  <pic:nvPicPr>
                    <pic:cNvPr descr="_images/MI_notification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243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62"/>
    <w:p>
      <w:pPr>
        <w:numPr>
          <w:numId w:val="1041"/>
          <w:ilvl w:val="0"/>
        </w:numPr>
      </w:pPr>
      <w:r>
        <w:t xml:space="preserve">В реестре контактов на каждого пользователя должна быть заведена запись с указанным email в таблице Контактная информация</w:t>
      </w:r>
    </w:p>
    <w:bookmarkStart w:id="64" w:name="mail-integration.xhtml#id7"/>
    <w:p>
      <w:pPr>
        <w:pStyle w:val="Compact"/>
      </w:pPr>
      <w:r>
        <w:drawing>
          <wp:inline>
            <wp:extent cx="5334000" cy="4318568"/>
            <wp:effectExtent b="0" l="0" r="0" t="0"/>
            <wp:docPr descr="_images/MI_notification_2.png" title="" id="1" name="Picture"/>
            <a:graphic>
              <a:graphicData uri="http://schemas.openxmlformats.org/drawingml/2006/picture">
                <pic:pic>
                  <pic:nvPicPr>
                    <pic:cNvPr descr="_images/MI_notification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185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64"/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В случае, если пользователь, email которого найден в профилях оргструктуры, направляет обращение через почту и при этом, его email</w:t>
      </w:r>
      <w:r>
        <w:t xml:space="preserve"> </w:t>
      </w:r>
      <w:r>
        <w:t xml:space="preserve">не найден в реестре «Контакты», - запись будет создана автоматически.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В последующих версиях это требование будет исключено.</w:t>
      </w:r>
    </w:p>
    <w:p>
      <w:pPr>
        <w:numPr>
          <w:numId w:val="1042"/>
          <w:ilvl w:val="0"/>
        </w:numPr>
      </w:pPr>
      <w:r>
        <w:t xml:space="preserve">В реестре «Настройки уведомлений» создать запись и внести необходимые настройки текстов уведомлений</w:t>
      </w:r>
    </w:p>
    <w:bookmarkStart w:id="66" w:name="mail-integration.xhtml#id8"/>
    <w:p>
      <w:pPr>
        <w:pStyle w:val="Compact"/>
      </w:pPr>
      <w:r>
        <w:drawing>
          <wp:inline>
            <wp:extent cx="5334000" cy="4566355"/>
            <wp:effectExtent b="0" l="0" r="0" t="0"/>
            <wp:docPr descr="_images/MI_notification_3.png" title="" id="1" name="Picture"/>
            <a:graphic>
              <a:graphicData uri="http://schemas.openxmlformats.org/drawingml/2006/picture">
                <pic:pic>
                  <pic:nvPicPr>
                    <pic:cNvPr descr="_images/MI_notification_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663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66"/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Уважаемый(ая) ${itsm_form_incident_author}!</w:t>
      </w:r>
      <w:r>
        <w:br w:type="textWrapping"/>
      </w:r>
      <w:r>
        <w:rPr>
          <w:rStyle w:val="VerbatimChar"/>
        </w:rPr>
        <w:t xml:space="preserve">Ваш запрос ${itsm_form_incident_id} от ${itsm_form_incident_regdate}, переведен в статус "${itsm_form_incident_status}".</w:t>
      </w:r>
      <w:r>
        <w:br w:type="textWrapping"/>
      </w:r>
      <w:r>
        <w:rPr>
          <w:rStyle w:val="VerbatimChar"/>
        </w:rPr>
        <w:t xml:space="preserve">Ответственный менеджер, ${itsm_form_incident_responsiblemanager}.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В уведомлении, кроме текста, может присутствовать значение любого поля на форме (исключая файлы и динамические таблицы).</w:t>
      </w:r>
      <w:r>
        <w:t xml:space="preserve"> </w:t>
      </w:r>
      <w:r>
        <w:t xml:space="preserve">Для добавления такого значения в текст уведомления необходимо указать имя компонента на форме в формате:</w:t>
      </w:r>
      <w:r>
        <w:t xml:space="preserve"> </w:t>
      </w:r>
      <w:r>
        <w:rPr>
          <w:rStyle w:val="VerbatimChar"/>
        </w:rPr>
        <w:t xml:space="preserve">${itsm_form_incident_author}</w:t>
      </w:r>
      <w:r>
        <w:t xml:space="preserve">.</w:t>
      </w:r>
    </w:p>
    <w:p>
      <w:pPr>
        <w:pStyle w:val="BodyText"/>
      </w:pPr>
      <w:r>
        <w:t xml:space="preserve">Перечень настроек:</w:t>
      </w:r>
    </w:p>
    <w:p>
      <w:pPr>
        <w:numPr>
          <w:numId w:val="1043"/>
          <w:ilvl w:val="0"/>
        </w:numPr>
      </w:pPr>
      <w:r>
        <w:rPr>
          <w:b/>
        </w:rPr>
        <w:t xml:space="preserve">Уведомление по-умолчанию</w:t>
      </w:r>
      <w:r>
        <w:t xml:space="preserve"> </w:t>
      </w:r>
      <w:r>
        <w:t xml:space="preserve">- уведомление приходит при срабатывании блокирующего процесса</w:t>
      </w:r>
      <w:r>
        <w:t xml:space="preserve"> </w:t>
      </w:r>
      <w:r>
        <w:rPr>
          <w:rStyle w:val="VerbatimChar"/>
        </w:rPr>
        <w:t xml:space="preserve">itsm_notification</w:t>
      </w:r>
      <w:r>
        <w:t xml:space="preserve"> </w:t>
      </w:r>
      <w:r>
        <w:t xml:space="preserve">в маршруте реестра обращений для всех статусов, для которых не настроены специфичные уведомления ниже.</w:t>
      </w:r>
    </w:p>
    <w:p>
      <w:pPr>
        <w:numPr>
          <w:numId w:val="1043"/>
          <w:ilvl w:val="0"/>
        </w:numPr>
      </w:pPr>
      <w:r>
        <w:rPr>
          <w:b/>
        </w:rPr>
        <w:t xml:space="preserve">Кастомные уведомления</w:t>
      </w:r>
      <w:r>
        <w:t xml:space="preserve"> </w:t>
      </w:r>
      <w:r>
        <w:t xml:space="preserve">- специфичный текст уведомления для указанного статуса (Рекомендуется указывать специфичные тексты для уведомления по статусам, требующим действий инициатора: «ожидает ответа пользователя», «ожидает оценки пользователя»)</w:t>
      </w:r>
    </w:p>
    <w:p>
      <w:pPr>
        <w:numPr>
          <w:numId w:val="1043"/>
          <w:ilvl w:val="0"/>
        </w:numPr>
      </w:pPr>
      <w:r>
        <w:rPr>
          <w:b/>
        </w:rPr>
        <w:t xml:space="preserve">Уведомления при не найденном email в списке пользователей</w:t>
      </w:r>
      <w:r>
        <w:t xml:space="preserve"> </w:t>
      </w:r>
      <w:r>
        <w:t xml:space="preserve">- данное уведомление получит отправитель, при попытка отправить письмо на служебный почтовый ящик, в случае,если его email не указан ни в каком из профилей</w:t>
      </w:r>
    </w:p>
    <w:p>
      <w:pPr>
        <w:numPr>
          <w:numId w:val="1043"/>
          <w:ilvl w:val="0"/>
        </w:numPr>
      </w:pPr>
      <w:r>
        <w:rPr>
          <w:b/>
        </w:rPr>
        <w:t xml:space="preserve">Уведомления о просроченности времени реакции обращения</w:t>
      </w:r>
    </w:p>
    <w:p>
      <w:pPr>
        <w:numPr>
          <w:numId w:val="1043"/>
          <w:ilvl w:val="0"/>
        </w:numPr>
      </w:pPr>
      <w:r>
        <w:rPr>
          <w:b/>
        </w:rPr>
        <w:t xml:space="preserve">Уведомления о просроченности времени решения обращения</w:t>
      </w:r>
    </w:p>
    <w:p>
      <w:pPr>
        <w:numPr>
          <w:numId w:val="1043"/>
          <w:ilvl w:val="0"/>
        </w:numPr>
      </w:pPr>
      <w:r>
        <w:rPr>
          <w:b/>
        </w:rPr>
        <w:t xml:space="preserve">Уведомления о просроченности времени решения проблемы</w:t>
      </w:r>
    </w:p>
    <w:p>
      <w:pPr>
        <w:numPr>
          <w:numId w:val="1043"/>
          <w:ilvl w:val="0"/>
        </w:numPr>
      </w:pPr>
      <w:r>
        <w:rPr>
          <w:b/>
        </w:rPr>
        <w:t xml:space="preserve">Уведомление о невозможности изменения информации</w:t>
      </w:r>
      <w:r>
        <w:t xml:space="preserve"> </w:t>
      </w:r>
      <w:r>
        <w:t xml:space="preserve">- данное уведомление будет получено инициатором, при попытке ответить на полученное уведомление (или при отправке нового письма содержащего номер обращения в фигурных скобках, например:</w:t>
      </w:r>
      <w:r>
        <w:t xml:space="preserve"> </w:t>
      </w:r>
      <w:r>
        <w:rPr>
          <w:rStyle w:val="VerbatimChar"/>
        </w:rPr>
        <w:t xml:space="preserve">{1234}</w:t>
      </w:r>
      <w:r>
        <w:t xml:space="preserve">) для обращения статус которого отличается от допустимых (настраиватся в реестре «Настройки интеграции с почтой»)</w:t>
      </w:r>
    </w:p>
    <w:bookmarkEnd w:id="67"/>
    <w:bookmarkStart w:id="73" w:name="mail-integration.xhtml#id3"/>
    <w:p>
      <w:pPr>
        <w:pStyle w:val="Heading2"/>
      </w:pPr>
      <w:r>
        <w:t xml:space="preserve">4.2. Прием и обработка обращений</w:t>
      </w:r>
    </w:p>
    <w:p>
      <w:pPr>
        <w:numPr>
          <w:numId w:val="1044"/>
          <w:ilvl w:val="0"/>
        </w:numPr>
      </w:pPr>
      <w:r>
        <w:t xml:space="preserve">В реестре «Настройки интеграции с почтой» создать запись и внести значения полей:</w:t>
      </w:r>
    </w:p>
    <w:bookmarkStart w:id="69" w:name="mail-integration.xhtml#id9"/>
    <w:p>
      <w:pPr>
        <w:pStyle w:val="Compact"/>
      </w:pPr>
      <w:r>
        <w:drawing>
          <wp:inline>
            <wp:extent cx="5334000" cy="4498358"/>
            <wp:effectExtent b="0" l="0" r="0" t="0"/>
            <wp:docPr descr="_images/MI_int_1.png" title="" id="1" name="Picture"/>
            <a:graphic>
              <a:graphicData uri="http://schemas.openxmlformats.org/drawingml/2006/picture">
                <pic:pic>
                  <pic:nvPicPr>
                    <pic:cNvPr descr="_images/MI_int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98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69"/>
    <w:bookmarkStart w:id="71" w:name="mail-integration.xhtml#id10"/>
    <w:p>
      <w:pPr>
        <w:pStyle w:val="Compact"/>
      </w:pPr>
      <w:r>
        <w:drawing>
          <wp:inline>
            <wp:extent cx="5334000" cy="4479471"/>
            <wp:effectExtent b="0" l="0" r="0" t="0"/>
            <wp:docPr descr="_images/MI_int_2.png" title="" id="1" name="Picture"/>
            <a:graphic>
              <a:graphicData uri="http://schemas.openxmlformats.org/drawingml/2006/picture">
                <pic:pic>
                  <pic:nvPicPr>
                    <pic:cNvPr descr="_images/MI_int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794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71"/>
    <w:p>
      <w:pPr>
        <w:pStyle w:val="BodyText"/>
      </w:pPr>
      <w:r>
        <w:t xml:space="preserve">Совет</w:t>
      </w:r>
    </w:p>
    <w:p>
      <w:pPr>
        <w:pStyle w:val="BodyText"/>
      </w:pPr>
      <w:r>
        <w:t xml:space="preserve">Проверь себя, выполни</w:t>
      </w:r>
      <w:r>
        <w:t xml:space="preserve"> </w:t>
      </w:r>
      <w:hyperlink r:id="rId72">
        <w:r>
          <w:rPr>
            <w:rStyle w:val="Hyperlink"/>
          </w:rPr>
          <w:t xml:space="preserve">Задание_4</w:t>
        </w:r>
      </w:hyperlink>
      <w:r>
        <w:t xml:space="preserve"> </w:t>
      </w:r>
      <w:r>
        <w:t xml:space="preserve">[http://rtd.lan.arta.kz/docs/itsm-custom-maual/ru/latest/Task_4.html]</w:t>
      </w:r>
    </w:p>
    <w:bookmarkEnd w:id="73"/>
    <w:bookmarkEnd w:id="74"/>
    <w:p>
      <w:pPr>
        <w:pStyle w:val="BodyText"/>
      </w:pPr>
      <w:bookmarkStart w:id="75" w:name="Product_structure.xhtml"/>
      <w:bookmarkEnd w:id="75"/>
    </w:p>
    <w:bookmarkStart w:id="83" w:name="Product_structure.xhtml#id1"/>
    <w:p>
      <w:pPr>
        <w:pStyle w:val="Heading1"/>
      </w:pPr>
      <w:r>
        <w:t xml:space="preserve">5. Структура продукта</w:t>
      </w:r>
    </w:p>
    <w:bookmarkStart w:id="76" w:name="Product_structure.xhtml#id2"/>
    <w:p>
      <w:pPr>
        <w:pStyle w:val="Heading2"/>
      </w:pPr>
      <w:r>
        <w:t xml:space="preserve">5.1. Как все устроено</w:t>
      </w:r>
    </w:p>
    <w:p>
      <w:pPr>
        <w:pStyle w:val="FirstParagraph"/>
      </w:pPr>
      <w:r>
        <w:t xml:space="preserve">Система SYNERGY ITSM реализована на базе платформы ARTA SYNERGY, путем создания конфигурации, допускающей гибкую настройку объектов: форм, маршрутов, статусов и пр…</w:t>
      </w:r>
    </w:p>
    <w:p>
      <w:pPr>
        <w:pStyle w:val="BodyText"/>
      </w:pPr>
      <w:r>
        <w:t xml:space="preserve">В системе SYNERGY ITSM реализованы следующие процессы:</w:t>
      </w:r>
    </w:p>
    <w:p>
      <w:pPr>
        <w:pStyle w:val="DefinitionTerm"/>
        <w:numPr>
          <w:numId w:val="1045"/>
          <w:ilvl w:val="0"/>
        </w:numPr>
      </w:pPr>
      <w:r>
        <w:t xml:space="preserve">Управление SLA</w:t>
      </w:r>
    </w:p>
    <w:p>
      <w:pPr>
        <w:pStyle w:val="Definition"/>
        <w:numPr>
          <w:numId w:val="1046"/>
          <w:ilvl w:val="1"/>
        </w:numPr>
      </w:pPr>
      <w:r>
        <w:t xml:space="preserve">Ведение реестра услуг</w:t>
      </w:r>
    </w:p>
    <w:p>
      <w:pPr>
        <w:pStyle w:val="Definition"/>
        <w:numPr>
          <w:numId w:val="1046"/>
          <w:ilvl w:val="1"/>
        </w:numPr>
      </w:pPr>
      <w:r>
        <w:t xml:space="preserve">Определение SLA (услуга-приоритет обращения -группа доступа)</w:t>
      </w:r>
    </w:p>
    <w:p>
      <w:pPr>
        <w:pStyle w:val="DefinitionTerm"/>
        <w:numPr>
          <w:numId w:val="1045"/>
          <w:ilvl w:val="0"/>
        </w:numPr>
      </w:pPr>
      <w:r>
        <w:t xml:space="preserve">Управление обращениями</w:t>
      </w:r>
    </w:p>
    <w:p>
      <w:pPr>
        <w:pStyle w:val="Definition"/>
        <w:numPr>
          <w:numId w:val="1047"/>
          <w:ilvl w:val="1"/>
        </w:numPr>
      </w:pPr>
      <w:r>
        <w:t xml:space="preserve">Регистрация обращений (в ручном режиме, интеграция с почтой, интеграция с порталом)</w:t>
      </w:r>
    </w:p>
    <w:p>
      <w:pPr>
        <w:pStyle w:val="Definition"/>
        <w:numPr>
          <w:numId w:val="1047"/>
          <w:ilvl w:val="1"/>
        </w:numPr>
      </w:pPr>
      <w:r>
        <w:t xml:space="preserve">Классификация обращений (услуга, приоритет и др..)</w:t>
      </w:r>
    </w:p>
    <w:p>
      <w:pPr>
        <w:pStyle w:val="Definition"/>
        <w:numPr>
          <w:numId w:val="1047"/>
          <w:ilvl w:val="1"/>
        </w:numPr>
      </w:pPr>
      <w:r>
        <w:t xml:space="preserve">Определение сроков исполнения с учетом SLA</w:t>
      </w:r>
    </w:p>
    <w:p>
      <w:pPr>
        <w:pStyle w:val="Definition"/>
        <w:numPr>
          <w:numId w:val="1047"/>
          <w:ilvl w:val="1"/>
        </w:numPr>
      </w:pPr>
      <w:r>
        <w:t xml:space="preserve">Направление в группу исполнителей (На очередь)</w:t>
      </w:r>
    </w:p>
    <w:p>
      <w:pPr>
        <w:pStyle w:val="Definition"/>
        <w:numPr>
          <w:numId w:val="1047"/>
          <w:ilvl w:val="1"/>
        </w:numPr>
      </w:pPr>
      <w:r>
        <w:t xml:space="preserve">Назначение обращения конкретному исполнителю (В работу)</w:t>
      </w:r>
    </w:p>
    <w:p>
      <w:pPr>
        <w:pStyle w:val="Definition"/>
        <w:numPr>
          <w:numId w:val="1047"/>
          <w:ilvl w:val="1"/>
        </w:numPr>
      </w:pPr>
      <w:r>
        <w:t xml:space="preserve">Возвращение на доработку инициатору обращения</w:t>
      </w:r>
    </w:p>
    <w:p>
      <w:pPr>
        <w:pStyle w:val="Definition"/>
        <w:numPr>
          <w:numId w:val="1047"/>
          <w:ilvl w:val="1"/>
        </w:numPr>
      </w:pPr>
      <w:r>
        <w:t xml:space="preserve">Завершение обращения с заполнением формы завершения (код решения, описание, файлы и пр.)</w:t>
      </w:r>
    </w:p>
    <w:p>
      <w:pPr>
        <w:pStyle w:val="Definition"/>
        <w:numPr>
          <w:numId w:val="1047"/>
          <w:ilvl w:val="1"/>
        </w:numPr>
      </w:pPr>
      <w:r>
        <w:t xml:space="preserve">Подтверждение или опровержение инициатором завершения обращения.</w:t>
      </w:r>
    </w:p>
    <w:p>
      <w:pPr>
        <w:pStyle w:val="FirstParagraph"/>
      </w:pPr>
      <w:r>
        <w:rPr>
          <w:i/>
        </w:rPr>
        <w:t xml:space="preserve">Прим. Список статусов обращений и порядок обработки этих статусов может быть произвольным. (Настраивается в конфигураторе)</w:t>
      </w:r>
    </w:p>
    <w:p>
      <w:pPr>
        <w:pStyle w:val="DefinitionTerm"/>
        <w:numPr>
          <w:numId w:val="1048"/>
          <w:ilvl w:val="0"/>
        </w:numPr>
      </w:pPr>
      <w:r>
        <w:t xml:space="preserve">Управление конфигурационными единицами</w:t>
      </w:r>
    </w:p>
    <w:p>
      <w:pPr>
        <w:pStyle w:val="Definition"/>
        <w:numPr>
          <w:numId w:val="1049"/>
          <w:ilvl w:val="1"/>
        </w:numPr>
      </w:pPr>
      <w:r>
        <w:t xml:space="preserve">Ведение реестра конфигурационных единиц</w:t>
      </w:r>
    </w:p>
    <w:p>
      <w:pPr>
        <w:pStyle w:val="Definition"/>
        <w:numPr>
          <w:numId w:val="1049"/>
          <w:ilvl w:val="1"/>
        </w:numPr>
      </w:pPr>
      <w:r>
        <w:t xml:space="preserve">Использование объектов реестра в обращениях, проблемах, изменениях</w:t>
      </w:r>
    </w:p>
    <w:p>
      <w:pPr>
        <w:pStyle w:val="DefinitionTerm"/>
        <w:numPr>
          <w:numId w:val="1048"/>
          <w:ilvl w:val="0"/>
        </w:numPr>
      </w:pPr>
      <w:r>
        <w:t xml:space="preserve">База знаний</w:t>
      </w:r>
    </w:p>
    <w:p>
      <w:pPr>
        <w:pStyle w:val="Definition"/>
        <w:numPr>
          <w:numId w:val="1050"/>
          <w:ilvl w:val="1"/>
        </w:numPr>
      </w:pPr>
      <w:r>
        <w:t xml:space="preserve">Ведение Базы знаний</w:t>
      </w:r>
    </w:p>
    <w:p>
      <w:pPr>
        <w:pStyle w:val="Definition"/>
        <w:numPr>
          <w:numId w:val="1050"/>
          <w:ilvl w:val="1"/>
        </w:numPr>
      </w:pPr>
      <w:r>
        <w:t xml:space="preserve">Использование объектов Базы в обращениях, проблемах, изменениях</w:t>
      </w:r>
    </w:p>
    <w:p>
      <w:pPr>
        <w:pStyle w:val="DefinitionTerm"/>
        <w:numPr>
          <w:numId w:val="1048"/>
          <w:ilvl w:val="0"/>
        </w:numPr>
      </w:pPr>
      <w:r>
        <w:t xml:space="preserve">Управление проблемами</w:t>
      </w:r>
    </w:p>
    <w:p>
      <w:pPr>
        <w:pStyle w:val="Definition"/>
        <w:numPr>
          <w:numId w:val="1051"/>
          <w:ilvl w:val="1"/>
        </w:numPr>
      </w:pPr>
      <w:r>
        <w:t xml:space="preserve">Регистрация проблемы на основании обращения, изменения</w:t>
      </w:r>
    </w:p>
    <w:p>
      <w:pPr>
        <w:pStyle w:val="Definition"/>
        <w:numPr>
          <w:numId w:val="1051"/>
          <w:ilvl w:val="1"/>
        </w:numPr>
      </w:pPr>
      <w:r>
        <w:t xml:space="preserve">Исполнение проблемы согласно настроенному маршруту</w:t>
      </w:r>
    </w:p>
    <w:p>
      <w:pPr>
        <w:pStyle w:val="Definition"/>
        <w:numPr>
          <w:numId w:val="1051"/>
          <w:ilvl w:val="1"/>
        </w:numPr>
      </w:pPr>
      <w:r>
        <w:t xml:space="preserve">Обновление информации по проблеме в родительском обращении/изменении</w:t>
      </w:r>
    </w:p>
    <w:p>
      <w:pPr>
        <w:pStyle w:val="DefinitionTerm"/>
        <w:numPr>
          <w:numId w:val="1048"/>
          <w:ilvl w:val="0"/>
        </w:numPr>
      </w:pPr>
      <w:r>
        <w:t xml:space="preserve">Управление изменениями</w:t>
      </w:r>
    </w:p>
    <w:p>
      <w:pPr>
        <w:pStyle w:val="Definition"/>
        <w:numPr>
          <w:numId w:val="1052"/>
          <w:ilvl w:val="1"/>
        </w:numPr>
      </w:pPr>
      <w:r>
        <w:t xml:space="preserve">Регистрация изменения на основании проблемы</w:t>
      </w:r>
    </w:p>
    <w:p>
      <w:pPr>
        <w:pStyle w:val="Definition"/>
        <w:numPr>
          <w:numId w:val="1052"/>
          <w:ilvl w:val="1"/>
        </w:numPr>
      </w:pPr>
      <w:r>
        <w:t xml:space="preserve">Исполнение изменения согласно настроенному маршруту</w:t>
      </w:r>
    </w:p>
    <w:p>
      <w:pPr>
        <w:pStyle w:val="Definition"/>
        <w:numPr>
          <w:numId w:val="1052"/>
          <w:ilvl w:val="1"/>
        </w:numPr>
      </w:pPr>
      <w:r>
        <w:t xml:space="preserve">Обновление информации по изменению в родительской проблеме</w:t>
      </w:r>
    </w:p>
    <w:p>
      <w:pPr>
        <w:pStyle w:val="DefinitionTerm"/>
        <w:numPr>
          <w:numId w:val="1048"/>
          <w:ilvl w:val="0"/>
        </w:numPr>
      </w:pPr>
      <w:r>
        <w:t xml:space="preserve">Отчетность</w:t>
      </w:r>
    </w:p>
    <w:p>
      <w:pPr>
        <w:pStyle w:val="Definition"/>
        <w:numPr>
          <w:numId w:val="1053"/>
          <w:ilvl w:val="1"/>
        </w:numPr>
      </w:pPr>
      <w:r>
        <w:t xml:space="preserve">Выгрузка в xls</w:t>
      </w:r>
    </w:p>
    <w:p>
      <w:pPr>
        <w:pStyle w:val="Definition"/>
        <w:numPr>
          <w:numId w:val="1053"/>
          <w:ilvl w:val="1"/>
        </w:numPr>
      </w:pPr>
      <w:r>
        <w:t xml:space="preserve">Преднастроенные отчеты</w:t>
      </w:r>
    </w:p>
    <w:p>
      <w:pPr>
        <w:pStyle w:val="Definition"/>
        <w:numPr>
          <w:numId w:val="1053"/>
          <w:ilvl w:val="1"/>
        </w:numPr>
      </w:pPr>
      <w:r>
        <w:t xml:space="preserve">Аналитические дашборды</w:t>
      </w:r>
    </w:p>
    <w:bookmarkEnd w:id="76"/>
    <w:bookmarkStart w:id="79" w:name="Product_structure.xhtml#id3"/>
    <w:p>
      <w:pPr>
        <w:pStyle w:val="Heading2"/>
      </w:pPr>
      <w:r>
        <w:t xml:space="preserve">5.2. Структура конфигурации</w:t>
      </w:r>
    </w:p>
    <w:p>
      <w:pPr>
        <w:pStyle w:val="FirstParagraph"/>
      </w:pPr>
      <w:r>
        <w:t xml:space="preserve">Все объекты в конфигурации сгруппированы по перечисленным выше процессам в соответствии:</w:t>
      </w:r>
    </w:p>
    <w:p>
      <w:pPr>
        <w:numPr>
          <w:numId w:val="1054"/>
          <w:ilvl w:val="0"/>
        </w:numPr>
      </w:pPr>
      <w:r>
        <w:t xml:space="preserve">Управление конфигурационными единицами - &gt; CI</w:t>
      </w:r>
    </w:p>
    <w:p>
      <w:pPr>
        <w:numPr>
          <w:numId w:val="1054"/>
          <w:ilvl w:val="0"/>
        </w:numPr>
      </w:pPr>
      <w:r>
        <w:t xml:space="preserve">Управление изменениями - &gt; Changes</w:t>
      </w:r>
    </w:p>
    <w:p>
      <w:pPr>
        <w:numPr>
          <w:numId w:val="1054"/>
          <w:ilvl w:val="0"/>
        </w:numPr>
      </w:pPr>
      <w:r>
        <w:t xml:space="preserve">Управление обращениями - &gt; Incidents</w:t>
      </w:r>
    </w:p>
    <w:p>
      <w:pPr>
        <w:numPr>
          <w:numId w:val="1054"/>
          <w:ilvl w:val="0"/>
        </w:numPr>
      </w:pPr>
      <w:r>
        <w:t xml:space="preserve">База знаний - &gt; Knowledgbase</w:t>
      </w:r>
    </w:p>
    <w:p>
      <w:pPr>
        <w:numPr>
          <w:numId w:val="1054"/>
          <w:ilvl w:val="0"/>
        </w:numPr>
      </w:pPr>
      <w:r>
        <w:t xml:space="preserve">Управление проблемами - &gt; Problems</w:t>
      </w:r>
    </w:p>
    <w:p>
      <w:pPr>
        <w:numPr>
          <w:numId w:val="1054"/>
          <w:ilvl w:val="0"/>
        </w:numPr>
      </w:pPr>
      <w:r>
        <w:t xml:space="preserve">Управление SLA - &gt; SLA</w:t>
      </w:r>
    </w:p>
    <w:p>
      <w:pPr>
        <w:numPr>
          <w:numId w:val="1054"/>
          <w:ilvl w:val="0"/>
        </w:numPr>
      </w:pPr>
      <w:r>
        <w:t xml:space="preserve">И прочие служебные директории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Данная структура объектов в конфигураторе является рекомендуемой, но может быть изменена при внедрении решения по потребностям конкретного проекта.</w:t>
      </w:r>
    </w:p>
    <w:bookmarkStart w:id="78" w:name="Product_structure.xhtml#id5"/>
    <w:p>
      <w:pPr>
        <w:pStyle w:val="Compact"/>
      </w:pPr>
      <w:r>
        <w:drawing>
          <wp:inline>
            <wp:extent cx="5334000" cy="2884876"/>
            <wp:effectExtent b="0" l="0" r="0" t="0"/>
            <wp:docPr descr="_images/Product_structure_configurator_main.png" title="" id="1" name="Picture"/>
            <a:graphic>
              <a:graphicData uri="http://schemas.openxmlformats.org/drawingml/2006/picture">
                <pic:pic>
                  <pic:nvPicPr>
                    <pic:cNvPr descr="_images/Product_structure_configurator_mai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4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78"/>
    <w:bookmarkEnd w:id="79"/>
    <w:bookmarkStart w:id="82" w:name="Product_structure.xhtml#id4"/>
    <w:p>
      <w:pPr>
        <w:pStyle w:val="Heading2"/>
      </w:pPr>
      <w:r>
        <w:t xml:space="preserve">5.3. Модель данных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Данная модель данных отражает поля и объекты, настроенные в продукте по умолчанию, но может быть изменена при внедрении решения по потребностям конкретного проекта.</w:t>
      </w:r>
    </w:p>
    <w:bookmarkStart w:id="81" w:name="Product_structure.xhtml#id6"/>
    <w:p>
      <w:pPr>
        <w:pStyle w:val="Compact"/>
      </w:pPr>
      <w:r>
        <w:drawing>
          <wp:inline>
            <wp:extent cx="5334000" cy="3923023"/>
            <wp:effectExtent b="0" l="0" r="0" t="0"/>
            <wp:docPr descr="_images/ITSM_data_model.png" title="" id="1" name="Picture"/>
            <a:graphic>
              <a:graphicData uri="http://schemas.openxmlformats.org/drawingml/2006/picture">
                <pic:pic>
                  <pic:nvPicPr>
                    <pic:cNvPr descr="_images/ITSM_data_model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81"/>
    <w:bookmarkEnd w:id="82"/>
    <w:bookmarkEnd w:id="83"/>
    <w:p>
      <w:pPr>
        <w:pStyle w:val="BodyText"/>
      </w:pPr>
      <w:bookmarkStart w:id="84" w:name="Incident_structure.xhtml"/>
      <w:bookmarkEnd w:id="84"/>
    </w:p>
    <w:bookmarkStart w:id="124" w:name="Incident_structure.xhtml#id1"/>
    <w:p>
      <w:pPr>
        <w:pStyle w:val="Heading1"/>
      </w:pPr>
      <w:hyperlink w:anchor="Incident_structure.xhtml#id25">
        <w:r>
          <w:rPr>
            <w:rStyle w:val="Hyperlink"/>
          </w:rPr>
          <w:t xml:space="preserve">6. Структура модуля «Управление обращениями»</w:t>
        </w:r>
      </w:hyperlink>
    </w:p>
    <w:bookmarkStart w:id="85" w:name="Incident_structure.xhtml#id2"/>
    <w:p>
      <w:pPr>
        <w:pStyle w:val="FirstParagraph"/>
      </w:pPr>
      <w:r>
        <w:t xml:space="preserve">Содержание</w:t>
      </w:r>
    </w:p>
    <w:p>
      <w:pPr>
        <w:numPr>
          <w:numId w:val="1055"/>
          <w:ilvl w:val="0"/>
        </w:numPr>
      </w:pPr>
      <w:hyperlink w:anchor="Incident_structure.xhtml#id1">
        <w:r>
          <w:rPr>
            <w:rStyle w:val="Hyperlink"/>
          </w:rPr>
          <w:t xml:space="preserve">Структура модуля «Управление обращениями»</w:t>
        </w:r>
      </w:hyperlink>
    </w:p>
    <w:p>
      <w:pPr>
        <w:numPr>
          <w:numId w:val="1056"/>
          <w:ilvl w:val="1"/>
        </w:numPr>
      </w:pPr>
      <w:hyperlink w:anchor="Incident_structure.xhtml#id3">
        <w:r>
          <w:rPr>
            <w:rStyle w:val="Hyperlink"/>
          </w:rPr>
          <w:t xml:space="preserve">Основные сущности</w:t>
        </w:r>
      </w:hyperlink>
    </w:p>
    <w:p>
      <w:pPr>
        <w:numPr>
          <w:numId w:val="1056"/>
          <w:ilvl w:val="1"/>
        </w:numPr>
      </w:pPr>
      <w:hyperlink w:anchor="Incident_structure.xhtml#id4">
        <w:r>
          <w:rPr>
            <w:rStyle w:val="Hyperlink"/>
          </w:rPr>
          <w:t xml:space="preserve">Обращения</w:t>
        </w:r>
      </w:hyperlink>
    </w:p>
    <w:p>
      <w:pPr>
        <w:numPr>
          <w:numId w:val="1057"/>
          <w:ilvl w:val="2"/>
        </w:numPr>
      </w:pPr>
      <w:hyperlink w:anchor="Incident_structure.xhtml#id5">
        <w:r>
          <w:rPr>
            <w:rStyle w:val="Hyperlink"/>
          </w:rPr>
          <w:t xml:space="preserve">Структура Формы обращения</w:t>
        </w:r>
      </w:hyperlink>
    </w:p>
    <w:p>
      <w:pPr>
        <w:numPr>
          <w:numId w:val="1057"/>
          <w:ilvl w:val="2"/>
        </w:numPr>
      </w:pPr>
      <w:hyperlink w:anchor="Incident_structure.xhtml#id6">
        <w:r>
          <w:rPr>
            <w:rStyle w:val="Hyperlink"/>
          </w:rPr>
          <w:t xml:space="preserve">Структура Маршрута обращения</w:t>
        </w:r>
      </w:hyperlink>
    </w:p>
    <w:p>
      <w:pPr>
        <w:numPr>
          <w:numId w:val="1057"/>
          <w:ilvl w:val="2"/>
        </w:numPr>
      </w:pPr>
      <w:hyperlink w:anchor="Incident_structure.xhtml#incident-status">
        <w:r>
          <w:rPr>
            <w:rStyle w:val="Hyperlink"/>
          </w:rPr>
          <w:t xml:space="preserve">Что такое статус обращения?</w:t>
        </w:r>
      </w:hyperlink>
    </w:p>
    <w:p>
      <w:pPr>
        <w:numPr>
          <w:numId w:val="1057"/>
          <w:ilvl w:val="2"/>
        </w:numPr>
      </w:pPr>
      <w:hyperlink w:anchor="Incident_structure.xhtml#id8">
        <w:r>
          <w:rPr>
            <w:rStyle w:val="Hyperlink"/>
          </w:rPr>
          <w:t xml:space="preserve">Диаграмма состояний обращения</w:t>
        </w:r>
      </w:hyperlink>
    </w:p>
    <w:p>
      <w:pPr>
        <w:numPr>
          <w:numId w:val="1056"/>
          <w:ilvl w:val="1"/>
        </w:numPr>
      </w:pPr>
      <w:hyperlink w:anchor="Incident_structure.xhtml#id9">
        <w:r>
          <w:rPr>
            <w:rStyle w:val="Hyperlink"/>
          </w:rPr>
          <w:t xml:space="preserve">Список блокирующих процессов</w:t>
        </w:r>
      </w:hyperlink>
    </w:p>
    <w:p>
      <w:pPr>
        <w:numPr>
          <w:numId w:val="1058"/>
          <w:ilvl w:val="2"/>
        </w:numPr>
      </w:pPr>
      <w:hyperlink w:anchor="Incident_structure.xhtml#event-blocking-interpreter-completion">
        <w:r>
          <w:rPr>
            <w:rStyle w:val="Hyperlink"/>
          </w:rPr>
          <w:t xml:space="preserve">event.blocking.interpreter.completion</w:t>
        </w:r>
      </w:hyperlink>
    </w:p>
    <w:p>
      <w:pPr>
        <w:numPr>
          <w:numId w:val="1058"/>
          <w:ilvl w:val="2"/>
        </w:numPr>
      </w:pPr>
      <w:hyperlink w:anchor="Incident_structure.xhtml#event-blocking-interpreter-email">
        <w:r>
          <w:rPr>
            <w:rStyle w:val="Hyperlink"/>
          </w:rPr>
          <w:t xml:space="preserve">event.blocking.interpreter.email</w:t>
        </w:r>
      </w:hyperlink>
    </w:p>
    <w:p>
      <w:pPr>
        <w:numPr>
          <w:numId w:val="1058"/>
          <w:ilvl w:val="2"/>
        </w:numPr>
      </w:pPr>
      <w:hyperlink w:anchor="Incident_structure.xhtml#event-blocking-interpreter-current-date">
        <w:r>
          <w:rPr>
            <w:rStyle w:val="Hyperlink"/>
          </w:rPr>
          <w:t xml:space="preserve">event.blocking.interpreter.current.date</w:t>
        </w:r>
      </w:hyperlink>
    </w:p>
    <w:p>
      <w:pPr>
        <w:numPr>
          <w:numId w:val="1058"/>
          <w:ilvl w:val="2"/>
        </w:numPr>
      </w:pPr>
      <w:hyperlink w:anchor="Incident_structure.xhtml#event-blocking-itsm-send-rate">
        <w:r>
          <w:rPr>
            <w:rStyle w:val="Hyperlink"/>
          </w:rPr>
          <w:t xml:space="preserve">event.blocking.itsm.send.rate</w:t>
        </w:r>
      </w:hyperlink>
    </w:p>
    <w:p>
      <w:pPr>
        <w:numPr>
          <w:numId w:val="1058"/>
          <w:ilvl w:val="2"/>
        </w:numPr>
      </w:pPr>
      <w:hyperlink w:anchor="Incident_structure.xhtml#event-blocking-incident-calc-status-1">
        <w:r>
          <w:rPr>
            <w:rStyle w:val="Hyperlink"/>
          </w:rPr>
          <w:t xml:space="preserve">event.blocking.incident.calc.status.1</w:t>
        </w:r>
      </w:hyperlink>
    </w:p>
    <w:p>
      <w:pPr>
        <w:numPr>
          <w:numId w:val="1056"/>
          <w:ilvl w:val="1"/>
        </w:numPr>
      </w:pPr>
      <w:hyperlink w:anchor="Incident_structure.xhtml#id10">
        <w:r>
          <w:rPr>
            <w:rStyle w:val="Hyperlink"/>
          </w:rPr>
          <w:t xml:space="preserve">Дополнительные механизмы</w:t>
        </w:r>
      </w:hyperlink>
    </w:p>
    <w:p>
      <w:pPr>
        <w:numPr>
          <w:numId w:val="1059"/>
          <w:ilvl w:val="2"/>
        </w:numPr>
      </w:pPr>
      <w:hyperlink w:anchor="Incident_structure.xhtml#id11">
        <w:r>
          <w:rPr>
            <w:rStyle w:val="Hyperlink"/>
          </w:rPr>
          <w:t xml:space="preserve">Переназачение обращения</w:t>
        </w:r>
      </w:hyperlink>
    </w:p>
    <w:p>
      <w:pPr>
        <w:numPr>
          <w:numId w:val="1059"/>
          <w:ilvl w:val="2"/>
        </w:numPr>
      </w:pPr>
      <w:hyperlink w:anchor="Incident_structure.xhtml#id12">
        <w:r>
          <w:rPr>
            <w:rStyle w:val="Hyperlink"/>
          </w:rPr>
          <w:t xml:space="preserve">Операции над фильтрами</w:t>
        </w:r>
      </w:hyperlink>
    </w:p>
    <w:p>
      <w:pPr>
        <w:numPr>
          <w:numId w:val="1059"/>
          <w:ilvl w:val="2"/>
        </w:numPr>
      </w:pPr>
      <w:hyperlink w:anchor="Incident_structure.xhtml#id13">
        <w:r>
          <w:rPr>
            <w:rStyle w:val="Hyperlink"/>
          </w:rPr>
          <w:t xml:space="preserve">Операции над выборкой</w:t>
        </w:r>
      </w:hyperlink>
    </w:p>
    <w:bookmarkEnd w:id="85"/>
    <w:bookmarkStart w:id="88" w:name="Incident_structure.xhtml#id3"/>
    <w:p>
      <w:pPr>
        <w:pStyle w:val="Heading2"/>
      </w:pPr>
      <w:hyperlink w:anchor="Incident_structure.xhtml#id26">
        <w:r>
          <w:rPr>
            <w:rStyle w:val="Hyperlink"/>
          </w:rPr>
          <w:t xml:space="preserve">6.1. Основные сущности</w:t>
        </w:r>
      </w:hyperlink>
    </w:p>
    <w:p>
      <w:pPr>
        <w:pStyle w:val="FirstParagraph"/>
      </w:pPr>
      <w:r>
        <w:t xml:space="preserve">Все объекты конфигурации модуля «Управления обращениями» для удобства поиска и навигации сгруппированы в следущие директории:</w:t>
      </w:r>
    </w:p>
    <w:p>
      <w:pPr>
        <w:numPr>
          <w:numId w:val="1060"/>
          <w:ilvl w:val="0"/>
        </w:numPr>
      </w:pPr>
      <w:r>
        <w:rPr>
          <w:b/>
        </w:rPr>
        <w:t xml:space="preserve">Routes_templates</w:t>
      </w:r>
      <w:r>
        <w:t xml:space="preserve"> </w:t>
      </w:r>
      <w:r>
        <w:t xml:space="preserve">- Шаблоны маршрутов</w:t>
      </w:r>
    </w:p>
    <w:p>
      <w:pPr>
        <w:numPr>
          <w:numId w:val="1060"/>
          <w:ilvl w:val="0"/>
        </w:numPr>
      </w:pPr>
      <w:r>
        <w:rPr>
          <w:b/>
        </w:rPr>
        <w:t xml:space="preserve">VMK</w:t>
      </w:r>
      <w:r>
        <w:t xml:space="preserve"> </w:t>
      </w:r>
      <w:r>
        <w:t xml:space="preserve">- Пользовательские компоненты (кастомизированные объекты интерфейса)</w:t>
      </w:r>
    </w:p>
    <w:p>
      <w:pPr>
        <w:numPr>
          <w:numId w:val="1060"/>
          <w:ilvl w:val="0"/>
        </w:numPr>
      </w:pPr>
      <w:r>
        <w:rPr>
          <w:b/>
        </w:rPr>
        <w:t xml:space="preserve">blocking_processes</w:t>
      </w:r>
      <w:r>
        <w:t xml:space="preserve"> </w:t>
      </w:r>
      <w:r>
        <w:t xml:space="preserve">- Блокирующие процессы</w:t>
      </w:r>
    </w:p>
    <w:p>
      <w:pPr>
        <w:numPr>
          <w:numId w:val="1060"/>
          <w:ilvl w:val="0"/>
        </w:numPr>
      </w:pPr>
      <w:r>
        <w:rPr>
          <w:b/>
        </w:rPr>
        <w:t xml:space="preserve">dict_incident</w:t>
      </w:r>
      <w:r>
        <w:t xml:space="preserve"> </w:t>
      </w:r>
      <w:r>
        <w:t xml:space="preserve">- Справачники</w:t>
      </w:r>
    </w:p>
    <w:p>
      <w:pPr>
        <w:numPr>
          <w:numId w:val="1060"/>
          <w:ilvl w:val="0"/>
        </w:numPr>
      </w:pPr>
      <w:r>
        <w:t xml:space="preserve">Формы: Обращение, Форма завершения обращения, Наряд, Сервисная команда, Внешний поставщик</w:t>
      </w:r>
    </w:p>
    <w:p>
      <w:pPr>
        <w:numPr>
          <w:numId w:val="1060"/>
          <w:ilvl w:val="0"/>
        </w:numPr>
      </w:pPr>
      <w:r>
        <w:t xml:space="preserve">Реестры: Обращения, Наряды, Сервисные командаы, Внешние поставщики</w:t>
      </w:r>
    </w:p>
    <w:bookmarkStart w:id="87" w:name="Incident_structure.xhtml#id15"/>
    <w:p>
      <w:pPr>
        <w:pStyle w:val="Compact"/>
      </w:pPr>
      <w:r>
        <w:drawing>
          <wp:inline>
            <wp:extent cx="5334000" cy="2875086"/>
            <wp:effectExtent b="0" l="0" r="0" t="0"/>
            <wp:docPr descr="_images/Incident_structure_configurator_main.png" title="" id="1" name="Picture"/>
            <a:graphic>
              <a:graphicData uri="http://schemas.openxmlformats.org/drawingml/2006/picture">
                <pic:pic>
                  <pic:nvPicPr>
                    <pic:cNvPr descr="_images/Incident_structure_configurator_mai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50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87"/>
    <w:bookmarkEnd w:id="88"/>
    <w:bookmarkStart w:id="112" w:name="Incident_structure.xhtml#id4"/>
    <w:p>
      <w:pPr>
        <w:pStyle w:val="Heading2"/>
      </w:pPr>
      <w:hyperlink w:anchor="Incident_structure.xhtml#id27">
        <w:r>
          <w:rPr>
            <w:rStyle w:val="Hyperlink"/>
          </w:rPr>
          <w:t xml:space="preserve">6.2. Обращения</w:t>
        </w:r>
      </w:hyperlink>
    </w:p>
    <w:p>
      <w:pPr>
        <w:pStyle w:val="FirstParagraph"/>
      </w:pPr>
      <w:r>
        <w:t xml:space="preserve">Код:</w:t>
      </w:r>
      <w:r>
        <w:t xml:space="preserve"> </w:t>
      </w:r>
      <w:r>
        <w:rPr>
          <w:rStyle w:val="VerbatimChar"/>
        </w:rPr>
        <w:t xml:space="preserve">itsm_form_incident</w:t>
      </w:r>
    </w:p>
    <w:p>
      <w:pPr>
        <w:pStyle w:val="BodyText"/>
      </w:pPr>
      <w:r>
        <w:t xml:space="preserve">Предупреждение</w:t>
      </w:r>
    </w:p>
    <w:p>
      <w:pPr>
        <w:pStyle w:val="BodyText"/>
      </w:pPr>
      <w:r>
        <w:t xml:space="preserve">Менять код формы, а также коды ключевых полей на форме настоятельно не рекомендуется. Это может повлечь за собой ошибки в процессах, заявязанных на данных полях.</w:t>
      </w:r>
    </w:p>
    <w:bookmarkStart w:id="105" w:name="Incident_structure.xhtml#id5"/>
    <w:p>
      <w:pPr>
        <w:pStyle w:val="Heading3"/>
      </w:pPr>
      <w:hyperlink w:anchor="Incident_structure.xhtml#id28">
        <w:r>
          <w:rPr>
            <w:rStyle w:val="Hyperlink"/>
          </w:rPr>
          <w:t xml:space="preserve">6.2.1. Структура Формы обращения</w:t>
        </w:r>
      </w:hyperlink>
    </w:p>
    <w:p>
      <w:pPr>
        <w:pStyle w:val="FirstParagraph"/>
      </w:pPr>
      <w:r>
        <w:t xml:space="preserve">Все поля на форме обращения сгруппированы в следующие разделы:</w:t>
      </w:r>
    </w:p>
    <w:p>
      <w:pPr>
        <w:numPr>
          <w:numId w:val="1061"/>
          <w:ilvl w:val="0"/>
        </w:numPr>
      </w:pPr>
      <w:r>
        <w:t xml:space="preserve">Статус и группа полей статусов</w:t>
      </w:r>
    </w:p>
    <w:p>
      <w:pPr>
        <w:numPr>
          <w:numId w:val="1061"/>
          <w:ilvl w:val="0"/>
        </w:numPr>
      </w:pPr>
      <w:r>
        <w:t xml:space="preserve">Основная информация</w:t>
      </w:r>
    </w:p>
    <w:p>
      <w:pPr>
        <w:numPr>
          <w:numId w:val="1061"/>
          <w:ilvl w:val="0"/>
        </w:numPr>
      </w:pPr>
      <w:r>
        <w:t xml:space="preserve">Описание обращения</w:t>
      </w:r>
    </w:p>
    <w:p>
      <w:pPr>
        <w:numPr>
          <w:numId w:val="1061"/>
          <w:ilvl w:val="0"/>
        </w:numPr>
      </w:pPr>
      <w:r>
        <w:t xml:space="preserve">Описание решения</w:t>
      </w:r>
    </w:p>
    <w:p>
      <w:pPr>
        <w:numPr>
          <w:numId w:val="1061"/>
          <w:ilvl w:val="0"/>
        </w:numPr>
      </w:pPr>
      <w:r>
        <w:t xml:space="preserve">Контактная информация</w:t>
      </w:r>
    </w:p>
    <w:p>
      <w:pPr>
        <w:numPr>
          <w:numId w:val="1061"/>
          <w:ilvl w:val="0"/>
        </w:numPr>
      </w:pPr>
      <w:r>
        <w:t xml:space="preserve">Затронутая инфраструктура</w:t>
      </w:r>
    </w:p>
    <w:p>
      <w:pPr>
        <w:numPr>
          <w:numId w:val="1061"/>
          <w:ilvl w:val="0"/>
        </w:numPr>
      </w:pPr>
      <w:r>
        <w:t xml:space="preserve">Связанные сущности</w:t>
      </w:r>
    </w:p>
    <w:p>
      <w:pPr>
        <w:numPr>
          <w:numId w:val="1061"/>
          <w:ilvl w:val="0"/>
        </w:numPr>
      </w:pPr>
      <w:r>
        <w:t xml:space="preserve">История основных статусов</w:t>
      </w:r>
    </w:p>
    <w:p>
      <w:pPr>
        <w:pStyle w:val="FirstParagraph"/>
      </w:pPr>
      <w:r>
        <w:t xml:space="preserve">Подробнее о каждом из разделов:</w:t>
      </w:r>
    </w:p>
    <w:p>
      <w:pPr>
        <w:numPr>
          <w:numId w:val="1062"/>
          <w:ilvl w:val="0"/>
        </w:numPr>
      </w:pPr>
      <w:r>
        <w:t xml:space="preserve">Статус и группа полей статусов</w:t>
      </w:r>
    </w:p>
    <w:p>
      <w:pPr>
        <w:pStyle w:val="FirstParagraph"/>
      </w:pPr>
      <w:r>
        <w:t xml:space="preserve">Поле статус</w:t>
      </w:r>
      <w:r>
        <w:t xml:space="preserve"> </w:t>
      </w:r>
      <w:r>
        <w:rPr>
          <w:rStyle w:val="VerbatimChar"/>
        </w:rPr>
        <w:t xml:space="preserve">itsm_form_incident_status</w:t>
      </w:r>
      <w:r>
        <w:t xml:space="preserve"> </w:t>
      </w:r>
      <w:r>
        <w:t xml:space="preserve">является ключевым полем на форме Обращения.</w:t>
      </w:r>
      <w:r>
        <w:t xml:space="preserve"> </w:t>
      </w:r>
      <w:r>
        <w:t xml:space="preserve">От этого поля зависит маршрут исполнения обращения, отображаемые поля на форме, доступность обновления обращения через портал/почту и другие специфичные настройки.</w:t>
      </w:r>
    </w:p>
    <w:p>
      <w:pPr>
        <w:pStyle w:val="BodyText"/>
      </w:pPr>
      <w:r>
        <w:t xml:space="preserve">Поле статус ссылается на справочник с кодом</w:t>
      </w:r>
      <w:r>
        <w:t xml:space="preserve"> </w:t>
      </w:r>
      <w:r>
        <w:rPr>
          <w:rStyle w:val="VerbatimChar"/>
        </w:rPr>
        <w:t xml:space="preserve">itsm_dict_incidentstatus</w:t>
      </w:r>
      <w:r>
        <w:t xml:space="preserve">. Изменение/добавление нового статуса необходимо производить предварительно ознакомившись с разделом</w:t>
      </w:r>
      <w:r>
        <w:t xml:space="preserve"> </w:t>
      </w:r>
      <w:hyperlink w:anchor="Incident_structure.xhtml#incident-status">
        <w:r>
          <w:rPr>
            <w:rStyle w:val="Hyperlink"/>
          </w:rPr>
          <w:t xml:space="preserve">Что такое статус обращения?</w:t>
        </w:r>
      </w:hyperlink>
      <w:r>
        <w:t xml:space="preserve"> </w:t>
      </w:r>
      <w:r>
        <w:t xml:space="preserve">.</w:t>
      </w:r>
    </w:p>
    <w:p>
      <w:pPr>
        <w:pStyle w:val="BodyText"/>
      </w:pPr>
      <w:r>
        <w:t xml:space="preserve">Поля расположенные ниже условно обозначены как Группа полей статуса. Продробнее об этом также читайте в разделе</w:t>
      </w:r>
      <w:r>
        <w:t xml:space="preserve"> </w:t>
      </w:r>
      <w:hyperlink w:anchor="Incident_structure.xhtml#incident-status">
        <w:r>
          <w:rPr>
            <w:rStyle w:val="Hyperlink"/>
          </w:rPr>
          <w:t xml:space="preserve">Что такое статус обращения?</w:t>
        </w:r>
      </w:hyperlink>
      <w:r>
        <w:t xml:space="preserve"> </w:t>
      </w:r>
      <w:r>
        <w:t xml:space="preserve">.</w:t>
      </w:r>
    </w:p>
    <w:bookmarkStart w:id="90" w:name="Incident_structure.xhtml#id16"/>
    <w:p>
      <w:pPr>
        <w:pStyle w:val="Compact"/>
      </w:pPr>
      <w:r>
        <w:drawing>
          <wp:inline>
            <wp:extent cx="5334000" cy="2042740"/>
            <wp:effectExtent b="0" l="0" r="0" t="0"/>
            <wp:docPr descr="_images/Incident_form_status.png" title="" id="1" name="Picture"/>
            <a:graphic>
              <a:graphicData uri="http://schemas.openxmlformats.org/drawingml/2006/picture">
                <pic:pic>
                  <pic:nvPicPr>
                    <pic:cNvPr descr="_images/Incident_form_statu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42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90"/>
    <w:p>
      <w:pPr>
        <w:numPr>
          <w:numId w:val="1063"/>
          <w:ilvl w:val="0"/>
        </w:numPr>
      </w:pPr>
      <w:r>
        <w:t xml:space="preserve">Основная информация</w:t>
      </w:r>
    </w:p>
    <w:p>
      <w:pPr>
        <w:pStyle w:val="FirstParagraph"/>
      </w:pPr>
      <w:r>
        <w:t xml:space="preserve">Ключевыми полями в этом разделе являются:</w:t>
      </w:r>
    </w:p>
    <w:p>
      <w:pPr>
        <w:numPr>
          <w:numId w:val="1064"/>
          <w:ilvl w:val="0"/>
        </w:numPr>
      </w:pPr>
      <w:r>
        <w:t xml:space="preserve">Идентификатор</w:t>
      </w:r>
      <w:r>
        <w:t xml:space="preserve"> </w:t>
      </w:r>
      <w:r>
        <w:rPr>
          <w:rStyle w:val="VerbatimChar"/>
        </w:rPr>
        <w:t xml:space="preserve">itsm_form_incident_id</w:t>
      </w:r>
    </w:p>
    <w:p>
      <w:pPr>
        <w:numPr>
          <w:numId w:val="1064"/>
          <w:ilvl w:val="0"/>
        </w:numPr>
      </w:pPr>
      <w:r>
        <w:t xml:space="preserve">Дата регистрации</w:t>
      </w:r>
      <w:r>
        <w:t xml:space="preserve"> </w:t>
      </w:r>
      <w:r>
        <w:rPr>
          <w:rStyle w:val="VerbatimChar"/>
        </w:rPr>
        <w:t xml:space="preserve">itsm_form_incident_regdate</w:t>
      </w:r>
    </w:p>
    <w:p>
      <w:pPr>
        <w:numPr>
          <w:numId w:val="1064"/>
          <w:ilvl w:val="0"/>
        </w:numPr>
      </w:pPr>
      <w:r>
        <w:t xml:space="preserve">Автор</w:t>
      </w:r>
      <w:r>
        <w:t xml:space="preserve"> </w:t>
      </w:r>
      <w:r>
        <w:rPr>
          <w:rStyle w:val="VerbatimChar"/>
        </w:rPr>
        <w:t xml:space="preserve">itsm_form_incident_author</w:t>
      </w:r>
    </w:p>
    <w:p>
      <w:pPr>
        <w:numPr>
          <w:numId w:val="1064"/>
          <w:ilvl w:val="0"/>
        </w:numPr>
      </w:pPr>
      <w:r>
        <w:t xml:space="preserve">Оператор</w:t>
      </w:r>
      <w:r>
        <w:t xml:space="preserve"> </w:t>
      </w:r>
      <w:r>
        <w:rPr>
          <w:rStyle w:val="VerbatimChar"/>
        </w:rPr>
        <w:t xml:space="preserve">itsm_form_incident_responsiblemanager</w:t>
      </w:r>
    </w:p>
    <w:p>
      <w:pPr>
        <w:numPr>
          <w:numId w:val="1064"/>
          <w:ilvl w:val="0"/>
        </w:numPr>
      </w:pPr>
      <w:r>
        <w:t xml:space="preserve">Подразделение исполнителя</w:t>
      </w:r>
      <w:r>
        <w:t xml:space="preserve"> </w:t>
      </w:r>
      <w:r>
        <w:rPr>
          <w:rStyle w:val="VerbatimChar"/>
        </w:rPr>
        <w:t xml:space="preserve">itsm_form_incident_responsibleDepartment</w:t>
      </w:r>
    </w:p>
    <w:p>
      <w:pPr>
        <w:numPr>
          <w:numId w:val="1064"/>
          <w:ilvl w:val="0"/>
        </w:numPr>
      </w:pPr>
      <w:r>
        <w:t xml:space="preserve">Исполнитель</w:t>
      </w:r>
      <w:r>
        <w:t xml:space="preserve"> </w:t>
      </w:r>
      <w:r>
        <w:rPr>
          <w:rStyle w:val="VerbatimChar"/>
        </w:rPr>
        <w:t xml:space="preserve">itsm_form_incident_responsible</w:t>
      </w:r>
    </w:p>
    <w:bookmarkStart w:id="92" w:name="Incident_structure.xhtml#id17"/>
    <w:p>
      <w:pPr>
        <w:pStyle w:val="Compact"/>
      </w:pPr>
      <w:r>
        <w:drawing>
          <wp:inline>
            <wp:extent cx="5334000" cy="2891237"/>
            <wp:effectExtent b="0" l="0" r="0" t="0"/>
            <wp:docPr descr="_images/Incident_form_common.png" title="" id="1" name="Picture"/>
            <a:graphic>
              <a:graphicData uri="http://schemas.openxmlformats.org/drawingml/2006/picture">
                <pic:pic>
                  <pic:nvPicPr>
                    <pic:cNvPr descr="_images/Incident_form_comm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912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92"/>
    <w:p>
      <w:pPr>
        <w:numPr>
          <w:numId w:val="1065"/>
          <w:ilvl w:val="0"/>
        </w:numPr>
      </w:pPr>
      <w:r>
        <w:t xml:space="preserve">Описание обращения</w:t>
      </w:r>
    </w:p>
    <w:p>
      <w:pPr>
        <w:pStyle w:val="FirstParagraph"/>
      </w:pPr>
      <w:r>
        <w:t xml:space="preserve">Ключевыми полями в этом разделе являются:</w:t>
      </w:r>
    </w:p>
    <w:p>
      <w:pPr>
        <w:numPr>
          <w:numId w:val="1066"/>
          <w:ilvl w:val="0"/>
        </w:numPr>
      </w:pPr>
      <w:r>
        <w:t xml:space="preserve">Тема</w:t>
      </w:r>
      <w:r>
        <w:t xml:space="preserve"> </w:t>
      </w:r>
      <w:r>
        <w:rPr>
          <w:rStyle w:val="VerbatimChar"/>
        </w:rPr>
        <w:t xml:space="preserve">itsm_form_incident_theme</w:t>
      </w:r>
      <w:r>
        <w:t xml:space="preserve"> </w:t>
      </w:r>
      <w:r>
        <w:t xml:space="preserve">-</w:t>
      </w:r>
    </w:p>
    <w:p>
      <w:pPr>
        <w:pStyle w:val="FirstParagraph"/>
      </w:pPr>
      <w:r>
        <w:rPr>
          <w:i/>
        </w:rPr>
        <w:t xml:space="preserve">При получении обращения через почту это поле заполняется значением - тема письма</w:t>
      </w:r>
    </w:p>
    <w:p>
      <w:pPr>
        <w:numPr>
          <w:numId w:val="1067"/>
          <w:ilvl w:val="0"/>
        </w:numPr>
      </w:pPr>
      <w:r>
        <w:t xml:space="preserve">Описание</w:t>
      </w:r>
      <w:r>
        <w:t xml:space="preserve"> </w:t>
      </w:r>
      <w:r>
        <w:rPr>
          <w:rStyle w:val="VerbatimChar"/>
        </w:rPr>
        <w:t xml:space="preserve">itsm_form_incident_description</w:t>
      </w:r>
      <w:r>
        <w:t xml:space="preserve"> </w:t>
      </w:r>
      <w:r>
        <w:t xml:space="preserve">-</w:t>
      </w:r>
    </w:p>
    <w:p>
      <w:pPr>
        <w:pStyle w:val="FirstParagraph"/>
      </w:pPr>
      <w:r>
        <w:rPr>
          <w:i/>
        </w:rPr>
        <w:t xml:space="preserve">При получении обращения через почту это поле заполняется значением - тело письма</w:t>
      </w:r>
    </w:p>
    <w:p>
      <w:pPr>
        <w:numPr>
          <w:numId w:val="1068"/>
          <w:ilvl w:val="0"/>
        </w:numPr>
      </w:pPr>
      <w:r>
        <w:t xml:space="preserve">Дополнительная информация - динамическая таблица</w:t>
      </w:r>
      <w:r>
        <w:t xml:space="preserve"> </w:t>
      </w:r>
      <w:r>
        <w:rPr>
          <w:rStyle w:val="VerbatimChar"/>
        </w:rPr>
        <w:t xml:space="preserve">itsm_form_incident_addinfo</w:t>
      </w:r>
      <w:r>
        <w:t xml:space="preserve"> </w:t>
      </w:r>
      <w:r>
        <w:t xml:space="preserve">с текстовым полем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-</w:t>
      </w:r>
    </w:p>
    <w:p>
      <w:pPr>
        <w:pStyle w:val="FirstParagraph"/>
      </w:pPr>
      <w:r>
        <w:rPr>
          <w:i/>
        </w:rPr>
        <w:t xml:space="preserve">При получении ответа на Запрос дополнительной информации по электронной почте, в этой таблице создается новая строка и в поле заполняется тело письма</w:t>
      </w:r>
    </w:p>
    <w:p>
      <w:pPr>
        <w:numPr>
          <w:numId w:val="1069"/>
          <w:ilvl w:val="0"/>
        </w:numPr>
      </w:pPr>
      <w:r>
        <w:t xml:space="preserve">Вложениия - динамическая таблица</w:t>
      </w:r>
      <w:r>
        <w:t xml:space="preserve"> </w:t>
      </w:r>
      <w:r>
        <w:rPr>
          <w:rStyle w:val="VerbatimChar"/>
        </w:rPr>
        <w:t xml:space="preserve">itsm_form_incident_files</w:t>
      </w:r>
      <w:r>
        <w:t xml:space="preserve"> </w:t>
      </w:r>
      <w:r>
        <w:t xml:space="preserve">с полем «Добавит файл»</w:t>
      </w:r>
      <w:r>
        <w:t xml:space="preserve"> </w:t>
      </w:r>
      <w:r>
        <w:rPr>
          <w:rStyle w:val="VerbatimChar"/>
        </w:rPr>
        <w:t xml:space="preserve">file</w:t>
      </w:r>
      <w:r>
        <w:t xml:space="preserve"> </w:t>
      </w:r>
      <w:r>
        <w:t xml:space="preserve">-</w:t>
      </w:r>
    </w:p>
    <w:p>
      <w:pPr>
        <w:pStyle w:val="FirstParagraph"/>
      </w:pPr>
      <w:r>
        <w:rPr>
          <w:i/>
        </w:rPr>
        <w:t xml:space="preserve">При получении обращения и ответа на запрос доп.инфо через почту в эту дин.таблицу сохраняются все вложения электронных писем</w:t>
      </w:r>
    </w:p>
    <w:bookmarkStart w:id="94" w:name="Incident_structure.xhtml#id18"/>
    <w:p>
      <w:pPr>
        <w:pStyle w:val="Compact"/>
      </w:pPr>
      <w:r>
        <w:drawing>
          <wp:inline>
            <wp:extent cx="5334000" cy="2884876"/>
            <wp:effectExtent b="0" l="0" r="0" t="0"/>
            <wp:docPr descr="_images/Incident_form_description.png" title="" id="1" name="Picture"/>
            <a:graphic>
              <a:graphicData uri="http://schemas.openxmlformats.org/drawingml/2006/picture">
                <pic:pic>
                  <pic:nvPicPr>
                    <pic:cNvPr descr="_images/Incident_form_descrip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4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94"/>
    <w:p>
      <w:pPr>
        <w:numPr>
          <w:numId w:val="1070"/>
          <w:ilvl w:val="0"/>
        </w:numPr>
      </w:pPr>
      <w:r>
        <w:t xml:space="preserve">Описание решения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Поля в этом блоке заполняются автоматически копированием данных их файла формы завершении (при выборе статуса: Ожидает оценки пользователя). За копирование данных отвечает блокирующий процесс</w:t>
      </w:r>
      <w:r>
        <w:t xml:space="preserve"> </w:t>
      </w:r>
      <w:r>
        <w:t xml:space="preserve">event.blocking.interpreter.completion</w:t>
      </w:r>
    </w:p>
    <w:p>
      <w:pPr>
        <w:numPr>
          <w:numId w:val="1071"/>
          <w:ilvl w:val="0"/>
        </w:numPr>
      </w:pPr>
      <w:r>
        <w:t xml:space="preserve">Код решения</w:t>
      </w:r>
      <w:r>
        <w:t xml:space="preserve"> </w:t>
      </w:r>
      <w:r>
        <w:rPr>
          <w:rStyle w:val="VerbatimChar"/>
        </w:rPr>
        <w:t xml:space="preserve">itsm_form_incident_decisiontype</w:t>
      </w:r>
      <w:r>
        <w:t xml:space="preserve"> </w:t>
      </w:r>
      <w:r>
        <w:t xml:space="preserve">- выпадающий список со справочником</w:t>
      </w:r>
      <w:r>
        <w:t xml:space="preserve"> </w:t>
      </w:r>
      <w:r>
        <w:rPr>
          <w:rStyle w:val="VerbatimChar"/>
        </w:rPr>
        <w:t xml:space="preserve">itsm_dict_incidentdecision</w:t>
      </w:r>
    </w:p>
    <w:p>
      <w:pPr>
        <w:numPr>
          <w:numId w:val="1071"/>
          <w:ilvl w:val="0"/>
        </w:numPr>
      </w:pPr>
      <w:r>
        <w:t xml:space="preserve">Описание</w:t>
      </w:r>
      <w:r>
        <w:t xml:space="preserve"> </w:t>
      </w:r>
      <w:r>
        <w:rPr>
          <w:rStyle w:val="VerbatimChar"/>
        </w:rPr>
        <w:t xml:space="preserve">itsm_form_incident_decisiondescription</w:t>
      </w:r>
      <w:r>
        <w:t xml:space="preserve"> </w:t>
      </w:r>
      <w:r>
        <w:t xml:space="preserve">-</w:t>
      </w:r>
    </w:p>
    <w:p>
      <w:pPr>
        <w:numPr>
          <w:numId w:val="1071"/>
          <w:ilvl w:val="0"/>
        </w:numPr>
      </w:pPr>
      <w:r>
        <w:t xml:space="preserve">Причина возникновения</w:t>
      </w:r>
      <w:r>
        <w:t xml:space="preserve"> </w:t>
      </w:r>
      <w:r>
        <w:rPr>
          <w:rStyle w:val="VerbatimChar"/>
        </w:rPr>
        <w:t xml:space="preserve">itsm_form_incident_cause</w:t>
      </w:r>
      <w:r>
        <w:t xml:space="preserve"> </w:t>
      </w:r>
      <w:r>
        <w:t xml:space="preserve">- выпадающий список со справочником</w:t>
      </w:r>
      <w:r>
        <w:t xml:space="preserve"> </w:t>
      </w:r>
      <w:r>
        <w:rPr>
          <w:rStyle w:val="VerbatimChar"/>
        </w:rPr>
        <w:t xml:space="preserve">itsm_dict_cause</w:t>
      </w:r>
    </w:p>
    <w:p>
      <w:pPr>
        <w:numPr>
          <w:numId w:val="1071"/>
          <w:ilvl w:val="0"/>
        </w:numPr>
      </w:pPr>
      <w:r>
        <w:t xml:space="preserve">Категория сбоя</w:t>
      </w:r>
      <w:r>
        <w:t xml:space="preserve"> </w:t>
      </w:r>
      <w:r>
        <w:rPr>
          <w:rStyle w:val="VerbatimChar"/>
        </w:rPr>
        <w:t xml:space="preserve">itsm_form_incident_failCategory</w:t>
      </w:r>
      <w:r>
        <w:t xml:space="preserve"> </w:t>
      </w:r>
      <w:r>
        <w:t xml:space="preserve">- выпадающий список со справочником</w:t>
      </w:r>
      <w:r>
        <w:t xml:space="preserve"> </w:t>
      </w:r>
      <w:r>
        <w:rPr>
          <w:rStyle w:val="VerbatimChar"/>
        </w:rPr>
        <w:t xml:space="preserve">itsm_dict_failCategory</w:t>
      </w:r>
    </w:p>
    <w:p>
      <w:pPr>
        <w:numPr>
          <w:numId w:val="1071"/>
          <w:ilvl w:val="0"/>
        </w:numPr>
      </w:pPr>
      <w:r>
        <w:t xml:space="preserve">Тип сбоя</w:t>
      </w:r>
      <w:r>
        <w:t xml:space="preserve"> </w:t>
      </w:r>
      <w:r>
        <w:rPr>
          <w:rStyle w:val="VerbatimChar"/>
        </w:rPr>
        <w:t xml:space="preserve">itsm_form_incident_failType</w:t>
      </w:r>
      <w:r>
        <w:t xml:space="preserve"> </w:t>
      </w:r>
      <w:r>
        <w:t xml:space="preserve">- выпадающий список со справочником</w:t>
      </w:r>
      <w:r>
        <w:t xml:space="preserve"> </w:t>
      </w:r>
      <w:r>
        <w:rPr>
          <w:rStyle w:val="VerbatimChar"/>
        </w:rPr>
        <w:t xml:space="preserve">itsm_dict_failType</w:t>
      </w:r>
    </w:p>
    <w:p>
      <w:pPr>
        <w:numPr>
          <w:numId w:val="1071"/>
          <w:ilvl w:val="0"/>
        </w:numPr>
      </w:pPr>
      <w:r>
        <w:t xml:space="preserve">«Создавать запись в Базе Знаний» - Выбор вариантов</w:t>
      </w:r>
      <w:r>
        <w:t xml:space="preserve"> </w:t>
      </w:r>
      <w:r>
        <w:rPr>
          <w:rStyle w:val="VerbatimChar"/>
        </w:rPr>
        <w:t xml:space="preserve">itsm_form_incident_makenew_knowledge</w:t>
      </w:r>
      <w:r>
        <w:t xml:space="preserve"> </w:t>
      </w:r>
      <w:r>
        <w:t xml:space="preserve">-</w:t>
      </w:r>
    </w:p>
    <w:p>
      <w:pPr>
        <w:pStyle w:val="FirstParagraph"/>
      </w:pPr>
      <w:r>
        <w:rPr>
          <w:i/>
        </w:rPr>
        <w:t xml:space="preserve">От наличия в этом поле включенного чекбокса зависит будет ли добавлена запись в Базу знаний</w:t>
      </w:r>
    </w:p>
    <w:p>
      <w:pPr>
        <w:numPr>
          <w:numId w:val="1072"/>
          <w:ilvl w:val="0"/>
        </w:numPr>
      </w:pPr>
      <w:r>
        <w:t xml:space="preserve">Файлы решения - динамическая таблица</w:t>
      </w:r>
      <w:r>
        <w:t xml:space="preserve"> </w:t>
      </w:r>
      <w:r>
        <w:rPr>
          <w:rStyle w:val="VerbatimChar"/>
        </w:rPr>
        <w:t xml:space="preserve">itsm_form_incident_decision_files</w:t>
      </w:r>
      <w:r>
        <w:t xml:space="preserve"> </w:t>
      </w:r>
      <w:r>
        <w:t xml:space="preserve">с полем «Добавить файл»</w:t>
      </w:r>
      <w:r>
        <w:t xml:space="preserve"> </w:t>
      </w:r>
      <w:r>
        <w:rPr>
          <w:rStyle w:val="VerbatimChar"/>
        </w:rPr>
        <w:t xml:space="preserve">Файл</w:t>
      </w:r>
    </w:p>
    <w:bookmarkStart w:id="96" w:name="Incident_structure.xhtml#id19"/>
    <w:p>
      <w:pPr>
        <w:pStyle w:val="Compact"/>
      </w:pPr>
      <w:r>
        <w:drawing>
          <wp:inline>
            <wp:extent cx="5334000" cy="1864835"/>
            <wp:effectExtent b="0" l="0" r="0" t="0"/>
            <wp:docPr descr="_images/Incident_form_decision.png" title="" id="1" name="Picture"/>
            <a:graphic>
              <a:graphicData uri="http://schemas.openxmlformats.org/drawingml/2006/picture">
                <pic:pic>
                  <pic:nvPicPr>
                    <pic:cNvPr descr="_images/Incident_form_decis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64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96"/>
    <w:p>
      <w:pPr>
        <w:numPr>
          <w:numId w:val="1073"/>
          <w:ilvl w:val="0"/>
        </w:numPr>
      </w:pPr>
      <w:r>
        <w:t xml:space="preserve">Контактная информация</w:t>
      </w:r>
    </w:p>
    <w:p>
      <w:pPr>
        <w:pStyle w:val="FirstParagraph"/>
      </w:pPr>
      <w:r>
        <w:t xml:space="preserve">Поле Контакт</w:t>
      </w:r>
      <w:r>
        <w:t xml:space="preserve"> </w:t>
      </w:r>
      <w:r>
        <w:rPr>
          <w:rStyle w:val="VerbatimChar"/>
        </w:rPr>
        <w:t xml:space="preserve">itsm_form_incident_contact</w:t>
      </w:r>
      <w:r>
        <w:t xml:space="preserve"> </w:t>
      </w:r>
      <w:r>
        <w:t xml:space="preserve">- ссылка на реестр Контакты заполняется:</w:t>
      </w:r>
    </w:p>
    <w:p>
      <w:pPr>
        <w:numPr>
          <w:numId w:val="1074"/>
          <w:ilvl w:val="0"/>
        </w:numPr>
      </w:pPr>
      <w:r>
        <w:t xml:space="preserve">вручную, при регистрации через интерфейс Synergy</w:t>
      </w:r>
    </w:p>
    <w:p>
      <w:pPr>
        <w:numPr>
          <w:numId w:val="1074"/>
          <w:ilvl w:val="0"/>
        </w:numPr>
      </w:pPr>
      <w:r>
        <w:t xml:space="preserve">заполняется автоматически при регистрации через портал или почту.</w:t>
      </w:r>
    </w:p>
    <w:p>
      <w:pPr>
        <w:pStyle w:val="FirstParagraph"/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crm_form_contact_phone_phone</w:t>
      </w:r>
      <w:r>
        <w:t xml:space="preserve"> </w:t>
      </w:r>
      <w:r>
        <w:t xml:space="preserve">динамической таблицы</w:t>
      </w:r>
      <w:r>
        <w:t xml:space="preserve"> </w:t>
      </w:r>
      <w:r>
        <w:rPr>
          <w:rStyle w:val="VerbatimChar"/>
        </w:rPr>
        <w:t xml:space="preserve">crm_form_contact_phone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crm_form_contact_email_email</w:t>
      </w:r>
      <w:r>
        <w:t xml:space="preserve"> </w:t>
      </w:r>
      <w:r>
        <w:t xml:space="preserve">динамической таблицы</w:t>
      </w:r>
      <w:r>
        <w:t xml:space="preserve"> </w:t>
      </w:r>
      <w:r>
        <w:rPr>
          <w:rStyle w:val="VerbatimChar"/>
        </w:rPr>
        <w:t xml:space="preserve">crm_form_contact_email</w:t>
      </w:r>
      <w:r>
        <w:t xml:space="preserve"> </w:t>
      </w:r>
      <w:r>
        <w:t xml:space="preserve">заполняются:</w:t>
      </w:r>
    </w:p>
    <w:p>
      <w:pPr>
        <w:numPr>
          <w:numId w:val="1075"/>
          <w:ilvl w:val="0"/>
        </w:numPr>
      </w:pPr>
      <w:r>
        <w:t xml:space="preserve">механизмом сопоставления в скриптах соответсвюущих компонентов, при регистрации через интерфейс Synergy</w:t>
      </w:r>
    </w:p>
    <w:p>
      <w:pPr>
        <w:numPr>
          <w:numId w:val="1075"/>
          <w:ilvl w:val="0"/>
        </w:numPr>
      </w:pPr>
      <w:r>
        <w:t xml:space="preserve">блок.процессом</w:t>
      </w:r>
      <w:r>
        <w:t xml:space="preserve"> </w:t>
      </w:r>
      <w:r>
        <w:rPr>
          <w:rStyle w:val="VerbatimChar"/>
        </w:rPr>
        <w:t xml:space="preserve">event.blocking.interpreter.email</w:t>
      </w:r>
      <w:r>
        <w:t xml:space="preserve">, при регистрации через портал или почту.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Наличие значения в поле</w:t>
      </w:r>
      <w:r>
        <w:t xml:space="preserve"> </w:t>
      </w:r>
      <w:r>
        <w:rPr>
          <w:rStyle w:val="VerbatimChar"/>
        </w:rPr>
        <w:t xml:space="preserve">crm_form_contact_email_email</w:t>
      </w:r>
      <w:r>
        <w:t xml:space="preserve"> </w:t>
      </w:r>
      <w:r>
        <w:t xml:space="preserve">в первой строке динамической таблицы</w:t>
      </w:r>
      <w:r>
        <w:t xml:space="preserve"> </w:t>
      </w:r>
      <w:r>
        <w:rPr>
          <w:rStyle w:val="VerbatimChar"/>
        </w:rPr>
        <w:t xml:space="preserve">сrm_form_contact_email</w:t>
      </w:r>
      <w:r>
        <w:t xml:space="preserve"> </w:t>
      </w:r>
      <w:r>
        <w:t xml:space="preserve">является ключевым для процесса отправки уведомлений пользователю.</w:t>
      </w:r>
    </w:p>
    <w:p>
      <w:pPr>
        <w:pStyle w:val="BodyText"/>
      </w:pPr>
      <w:r>
        <w:t xml:space="preserve">Предупреждение</w:t>
      </w:r>
    </w:p>
    <w:p>
      <w:pPr>
        <w:pStyle w:val="BodyText"/>
      </w:pPr>
      <w:r>
        <w:t xml:space="preserve">Реестр «Контакты» в версии Synergy Itsm 1.0 является рудиментом предыдущих версий и будет исключен в последующих версиях.</w:t>
      </w:r>
    </w:p>
    <w:bookmarkStart w:id="98" w:name="Incident_structure.xhtml#id20"/>
    <w:p>
      <w:pPr>
        <w:pStyle w:val="Compact"/>
      </w:pPr>
      <w:r>
        <w:drawing>
          <wp:inline>
            <wp:extent cx="5334000" cy="2878515"/>
            <wp:effectExtent b="0" l="0" r="0" t="0"/>
            <wp:docPr descr="_images/Incident_form_conacts.png" title="" id="1" name="Picture"/>
            <a:graphic>
              <a:graphicData uri="http://schemas.openxmlformats.org/drawingml/2006/picture">
                <pic:pic>
                  <pic:nvPicPr>
                    <pic:cNvPr descr="_images/Incident_form_conact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8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98"/>
    <w:p>
      <w:pPr>
        <w:numPr>
          <w:numId w:val="1076"/>
          <w:ilvl w:val="0"/>
        </w:numPr>
      </w:pPr>
      <w:r>
        <w:t xml:space="preserve">Затронутая инфраструктура</w:t>
      </w:r>
    </w:p>
    <w:p>
      <w:pPr>
        <w:pStyle w:val="FirstParagraph"/>
      </w:pPr>
      <w:r>
        <w:t xml:space="preserve">Поле «Затронутый сервис»</w:t>
      </w:r>
      <w:r>
        <w:t xml:space="preserve"> </w:t>
      </w:r>
      <w:r>
        <w:rPr>
          <w:rStyle w:val="VerbatimChar"/>
        </w:rPr>
        <w:t xml:space="preserve">itsm_form_incident_servicelink</w:t>
      </w:r>
      <w:r>
        <w:t xml:space="preserve"> </w:t>
      </w:r>
      <w:r>
        <w:t xml:space="preserve">является ключевым - по нему, а также по полям</w:t>
      </w:r>
    </w:p>
    <w:p>
      <w:pPr>
        <w:numPr>
          <w:numId w:val="1077"/>
          <w:ilvl w:val="0"/>
        </w:numPr>
      </w:pPr>
      <w:r>
        <w:rPr>
          <w:rStyle w:val="VerbatimChar"/>
        </w:rPr>
        <w:t xml:space="preserve">itsm_form_incident_author</w:t>
      </w:r>
      <w:r>
        <w:t xml:space="preserve"> </w:t>
      </w:r>
      <w:r>
        <w:t xml:space="preserve">(группа пользователя, являющиегося автором обращения)</w:t>
      </w:r>
    </w:p>
    <w:p>
      <w:pPr>
        <w:numPr>
          <w:numId w:val="1077"/>
          <w:ilvl w:val="0"/>
        </w:numPr>
      </w:pPr>
      <w:r>
        <w:rPr>
          <w:rStyle w:val="VerbatimChar"/>
        </w:rPr>
        <w:t xml:space="preserve">itsm_form_incident_priority</w:t>
      </w:r>
      <w:r>
        <w:t xml:space="preserve"> </w:t>
      </w:r>
      <w:r>
        <w:t xml:space="preserve">(приоритет)</w:t>
      </w:r>
    </w:p>
    <w:p>
      <w:pPr>
        <w:pStyle w:val="FirstParagraph"/>
      </w:pPr>
      <w:r>
        <w:t xml:space="preserve">осуществляется связь обращения с SLA, получение длительности и расчет сроков исполнения обращения с указанными параметрами.</w:t>
      </w:r>
    </w:p>
    <w:bookmarkStart w:id="100" w:name="Incident_structure.xhtml#id21"/>
    <w:p>
      <w:pPr>
        <w:pStyle w:val="Compact"/>
      </w:pPr>
      <w:r>
        <w:drawing>
          <wp:inline>
            <wp:extent cx="5334000" cy="2887793"/>
            <wp:effectExtent b="0" l="0" r="0" t="0"/>
            <wp:docPr descr="_images/Incident_form_service.png" title="" id="1" name="Picture"/>
            <a:graphic>
              <a:graphicData uri="http://schemas.openxmlformats.org/drawingml/2006/picture">
                <pic:pic>
                  <pic:nvPicPr>
                    <pic:cNvPr descr="_images/Incident_form_servic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100"/>
    <w:p>
      <w:pPr>
        <w:numPr>
          <w:numId w:val="1078"/>
          <w:ilvl w:val="0"/>
        </w:numPr>
      </w:pPr>
      <w:r>
        <w:t xml:space="preserve">Связанные сущности</w:t>
      </w:r>
    </w:p>
    <w:p>
      <w:pPr>
        <w:pStyle w:val="FirstParagraph"/>
      </w:pPr>
      <w:r>
        <w:t xml:space="preserve">В этот раздел автоматически попадают созданные на основании данного обращения Проблемы, а также могут быть указаны вручную связанные с данными обращения.</w:t>
      </w:r>
    </w:p>
    <w:bookmarkStart w:id="102" w:name="Incident_structure.xhtml#id22"/>
    <w:p>
      <w:pPr>
        <w:pStyle w:val="Compact"/>
      </w:pPr>
      <w:r>
        <w:drawing>
          <wp:inline>
            <wp:extent cx="5334000" cy="2887793"/>
            <wp:effectExtent b="0" l="0" r="0" t="0"/>
            <wp:docPr descr="_images/Incident_form_problems.png" title="" id="1" name="Picture"/>
            <a:graphic>
              <a:graphicData uri="http://schemas.openxmlformats.org/drawingml/2006/picture">
                <pic:pic>
                  <pic:nvPicPr>
                    <pic:cNvPr descr="_images/Incident_form_problem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102"/>
    <w:p>
      <w:pPr>
        <w:numPr>
          <w:numId w:val="1079"/>
          <w:ilvl w:val="0"/>
        </w:numPr>
      </w:pPr>
      <w:r>
        <w:t xml:space="preserve">История основных статусов</w:t>
      </w:r>
    </w:p>
    <w:p>
      <w:pPr>
        <w:pStyle w:val="FirstParagraph"/>
      </w:pPr>
      <w:r>
        <w:t xml:space="preserve">В этом разделе отображается основная информация по клюечвым статусам (На очереди, В работу, Ожидает оценки исполнителя).</w:t>
      </w:r>
      <w:r>
        <w:t xml:space="preserve"> </w:t>
      </w:r>
      <w:r>
        <w:t xml:space="preserve">Эти поля вынесены на форму для возможности получения отчетности путем стандартной выугрузке данных реестра в xls.</w:t>
      </w:r>
    </w:p>
    <w:bookmarkStart w:id="104" w:name="Incident_structure.xhtml#id23"/>
    <w:p>
      <w:pPr>
        <w:pStyle w:val="Compact"/>
      </w:pPr>
      <w:r>
        <w:drawing>
          <wp:inline>
            <wp:extent cx="5334000" cy="2080863"/>
            <wp:effectExtent b="0" l="0" r="0" t="0"/>
            <wp:docPr descr="_images/Incident_form_history.png" title="" id="1" name="Picture"/>
            <a:graphic>
              <a:graphicData uri="http://schemas.openxmlformats.org/drawingml/2006/picture">
                <pic:pic>
                  <pic:nvPicPr>
                    <pic:cNvPr descr="_images/Incident_form_history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808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104"/>
    <w:bookmarkEnd w:id="105"/>
    <w:bookmarkStart w:id="106" w:name="Incident_structure.xhtml#id6"/>
    <w:p>
      <w:pPr>
        <w:pStyle w:val="Heading3"/>
      </w:pPr>
      <w:hyperlink w:anchor="Incident_structure.xhtml#id29">
        <w:r>
          <w:rPr>
            <w:rStyle w:val="Hyperlink"/>
          </w:rPr>
          <w:t xml:space="preserve">6.2.2. Структура Маршрута обращения</w:t>
        </w:r>
      </w:hyperlink>
    </w:p>
    <w:p>
      <w:pPr>
        <w:numPr>
          <w:numId w:val="1080"/>
          <w:ilvl w:val="0"/>
        </w:numPr>
      </w:pPr>
      <w:r>
        <w:t xml:space="preserve">Основной условный переход</w:t>
      </w:r>
    </w:p>
    <w:p>
      <w:pPr>
        <w:numPr>
          <w:numId w:val="1080"/>
          <w:ilvl w:val="0"/>
        </w:numPr>
      </w:pPr>
      <w:r>
        <w:t xml:space="preserve">Условный переход при завершении</w:t>
      </w:r>
    </w:p>
    <w:bookmarkEnd w:id="106"/>
    <w:bookmarkStart w:id="108" w:name="Incident_structure.xhtml#incident-status"/>
    <w:p>
      <w:pPr>
        <w:pStyle w:val="Compact"/>
      </w:pPr>
      <w:bookmarkStart w:id="107" w:name="Incident_structure.xhtml#id7"/>
      <w:bookmarkEnd w:id="107"/>
    </w:p>
    <w:p>
      <w:pPr>
        <w:pStyle w:val="Heading3"/>
      </w:pPr>
      <w:hyperlink w:anchor="Incident_structure.xhtml#id30">
        <w:r>
          <w:rPr>
            <w:rStyle w:val="Hyperlink"/>
          </w:rPr>
          <w:t xml:space="preserve">6.2.3. Что такое статус обращения?</w:t>
        </w:r>
      </w:hyperlink>
    </w:p>
    <w:p>
      <w:pPr>
        <w:pStyle w:val="FirstParagraph"/>
      </w:pPr>
      <w:r>
        <w:t xml:space="preserve">В терминологии продука Synergy ITSM статус - это набор следующий объектов и настроек:</w:t>
      </w:r>
    </w:p>
    <w:p>
      <w:pPr>
        <w:numPr>
          <w:numId w:val="1081"/>
          <w:ilvl w:val="0"/>
        </w:numPr>
      </w:pPr>
      <w:r>
        <w:t xml:space="preserve">Значение справочника статусов</w:t>
      </w:r>
    </w:p>
    <w:p>
      <w:pPr>
        <w:numPr>
          <w:numId w:val="1081"/>
          <w:ilvl w:val="0"/>
        </w:numPr>
      </w:pPr>
      <w:r>
        <w:t xml:space="preserve">Шаблон маршрута</w:t>
      </w:r>
    </w:p>
    <w:p>
      <w:pPr>
        <w:numPr>
          <w:numId w:val="1081"/>
          <w:ilvl w:val="0"/>
        </w:numPr>
      </w:pPr>
      <w:r>
        <w:t xml:space="preserve">Переход в условном переходе маршрут реестра</w:t>
      </w:r>
    </w:p>
    <w:p>
      <w:pPr>
        <w:numPr>
          <w:numId w:val="1081"/>
          <w:ilvl w:val="0"/>
        </w:numPr>
      </w:pPr>
      <w:r>
        <w:t xml:space="preserve">При необходимости: дополнительные поля ФЗ и логика их копирования в процессе event.blocking.interpreter.completion</w:t>
      </w:r>
    </w:p>
    <w:bookmarkEnd w:id="108"/>
    <w:bookmarkStart w:id="111" w:name="Incident_structure.xhtml#id8"/>
    <w:p>
      <w:pPr>
        <w:pStyle w:val="Heading3"/>
      </w:pPr>
      <w:hyperlink w:anchor="Incident_structure.xhtml#id31">
        <w:r>
          <w:rPr>
            <w:rStyle w:val="Hyperlink"/>
          </w:rPr>
          <w:t xml:space="preserve">6.2.4. Диаграмма состояний обращения</w:t>
        </w:r>
      </w:hyperlink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На данной диаграмме отображается перечень статусов и переходов между ними настроенный по-умолчанию, но может быть изменен при внедрении решения по потребностям конкретного проекта.</w:t>
      </w:r>
    </w:p>
    <w:bookmarkStart w:id="110" w:name="Incident_structure.xhtml#id24"/>
    <w:p>
      <w:pPr>
        <w:pStyle w:val="Compact"/>
      </w:pPr>
      <w:r>
        <w:drawing>
          <wp:inline>
            <wp:extent cx="5334000" cy="5110195"/>
            <wp:effectExtent b="0" l="0" r="0" t="0"/>
            <wp:docPr descr="_images/Incident_statechart.png" title="" id="1" name="Picture"/>
            <a:graphic>
              <a:graphicData uri="http://schemas.openxmlformats.org/drawingml/2006/picture">
                <pic:pic>
                  <pic:nvPicPr>
                    <pic:cNvPr descr="_images/Incident_statechar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101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110"/>
    <w:bookmarkEnd w:id="111"/>
    <w:bookmarkEnd w:id="112"/>
    <w:bookmarkStart w:id="118" w:name="Incident_structure.xhtml#id9"/>
    <w:p>
      <w:pPr>
        <w:pStyle w:val="Heading2"/>
      </w:pPr>
      <w:hyperlink w:anchor="Incident_structure.xhtml#id32">
        <w:r>
          <w:rPr>
            <w:rStyle w:val="Hyperlink"/>
          </w:rPr>
          <w:t xml:space="preserve">6.3. Список блокирующих процессов</w:t>
        </w:r>
      </w:hyperlink>
    </w:p>
    <w:bookmarkStart w:id="113" w:name="Incident_structure.xhtml#event-blocking-interpreter-completion"/>
    <w:p>
      <w:pPr>
        <w:pStyle w:val="Heading3"/>
      </w:pPr>
      <w:hyperlink w:anchor="Incident_structure.xhtml#id33">
        <w:r>
          <w:rPr>
            <w:rStyle w:val="Hyperlink"/>
          </w:rPr>
          <w:t xml:space="preserve">6.3.1. event.blocking.interpreter.completion</w:t>
        </w:r>
      </w:hyperlink>
    </w:p>
    <w:p>
      <w:pPr>
        <w:pStyle w:val="FirstParagraph"/>
      </w:pPr>
      <w:r>
        <w:rPr>
          <w:b/>
        </w:rPr>
        <w:t xml:space="preserve">Что делает процесс?</w:t>
      </w:r>
    </w:p>
    <w:p>
      <w:pPr>
        <w:numPr>
          <w:numId w:val="1082"/>
          <w:ilvl w:val="0"/>
        </w:numPr>
      </w:pPr>
      <w:r>
        <w:t xml:space="preserve">Получает ход выполнения по обращению</w:t>
      </w:r>
    </w:p>
    <w:p>
      <w:pPr>
        <w:numPr>
          <w:numId w:val="1082"/>
          <w:ilvl w:val="0"/>
        </w:numPr>
      </w:pPr>
      <w:r>
        <w:t xml:space="preserve">Определяет последнюю завершенную работу</w:t>
      </w:r>
    </w:p>
    <w:p>
      <w:pPr>
        <w:numPr>
          <w:numId w:val="1082"/>
          <w:ilvl w:val="0"/>
        </w:numPr>
      </w:pPr>
      <w:r>
        <w:t xml:space="preserve">Определяет файл по форме завершения в папке Прочие для этой работы</w:t>
      </w:r>
    </w:p>
    <w:p>
      <w:pPr>
        <w:numPr>
          <w:numId w:val="1082"/>
          <w:ilvl w:val="0"/>
        </w:numPr>
      </w:pPr>
      <w:r>
        <w:t xml:space="preserve">Копирует данные с найденного файла формы завершения на форму обращения (меняет статус и записывает значения группы полей статуса)</w:t>
      </w:r>
    </w:p>
    <w:bookmarkEnd w:id="113"/>
    <w:bookmarkStart w:id="114" w:name="Incident_structure.xhtml#event-blocking-interpreter-email"/>
    <w:p>
      <w:pPr>
        <w:pStyle w:val="Heading3"/>
      </w:pPr>
      <w:hyperlink w:anchor="Incident_structure.xhtml#id34">
        <w:r>
          <w:rPr>
            <w:rStyle w:val="Hyperlink"/>
          </w:rPr>
          <w:t xml:space="preserve">6.3.2. event.blocking.interpreter.email</w:t>
        </w:r>
      </w:hyperlink>
    </w:p>
    <w:p>
      <w:pPr>
        <w:pStyle w:val="FirstParagraph"/>
      </w:pPr>
      <w:r>
        <w:rPr>
          <w:b/>
        </w:rPr>
        <w:t xml:space="preserve">Что делает процесс?</w:t>
      </w:r>
    </w:p>
    <w:p>
      <w:pPr>
        <w:numPr>
          <w:numId w:val="1083"/>
          <w:ilvl w:val="0"/>
        </w:numPr>
      </w:pPr>
      <w:r>
        <w:t xml:space="preserve">Получает id записи реестра Контакты, выбранного в поле Автор</w:t>
      </w:r>
    </w:p>
    <w:p>
      <w:pPr>
        <w:numPr>
          <w:numId w:val="1083"/>
          <w:ilvl w:val="0"/>
        </w:numPr>
      </w:pPr>
      <w:r>
        <w:t xml:space="preserve">Копирует данные с найденной записи реестра Контакты на форму обращения</w:t>
      </w:r>
    </w:p>
    <w:bookmarkEnd w:id="114"/>
    <w:bookmarkStart w:id="115" w:name="Incident_structure.xhtml#event-blocking-interpreter-current-date"/>
    <w:p>
      <w:pPr>
        <w:pStyle w:val="Heading3"/>
      </w:pPr>
      <w:hyperlink w:anchor="Incident_structure.xhtml#id35">
        <w:r>
          <w:rPr>
            <w:rStyle w:val="Hyperlink"/>
          </w:rPr>
          <w:t xml:space="preserve">6.3.3. event.blocking.interpreter.current.date</w:t>
        </w:r>
      </w:hyperlink>
    </w:p>
    <w:p>
      <w:pPr>
        <w:pStyle w:val="FirstParagraph"/>
      </w:pPr>
      <w:r>
        <w:rPr>
          <w:b/>
        </w:rPr>
        <w:t xml:space="preserve">Что делает процесс?</w:t>
      </w:r>
    </w:p>
    <w:p>
      <w:pPr>
        <w:numPr>
          <w:numId w:val="1084"/>
          <w:ilvl w:val="0"/>
        </w:numPr>
      </w:pPr>
      <w:r>
        <w:t xml:space="preserve">Сохраняет значение текущей даты (на момент запуска данного БП) на форму обращения</w:t>
      </w:r>
    </w:p>
    <w:p>
      <w:pPr>
        <w:pStyle w:val="FirstParagraph"/>
      </w:pPr>
      <w:r>
        <w:rPr>
          <w:i/>
        </w:rPr>
        <w:t xml:space="preserve">Прим. В дальнейшем эта дата используется для запуска таймера на 48 часов, по истечению которого должна быть завершена работа ожидания оценки пользователя.</w:t>
      </w:r>
    </w:p>
    <w:bookmarkEnd w:id="115"/>
    <w:bookmarkStart w:id="116" w:name="Incident_structure.xhtml#event-blocking-itsm-send-rate"/>
    <w:p>
      <w:pPr>
        <w:pStyle w:val="Heading3"/>
      </w:pPr>
      <w:hyperlink w:anchor="Incident_structure.xhtml#id36">
        <w:r>
          <w:rPr>
            <w:rStyle w:val="Hyperlink"/>
          </w:rPr>
          <w:t xml:space="preserve">6.3.4. event.blocking.itsm.send.rate</w:t>
        </w:r>
      </w:hyperlink>
    </w:p>
    <w:p>
      <w:pPr>
        <w:pStyle w:val="FirstParagraph"/>
      </w:pPr>
      <w:r>
        <w:rPr>
          <w:b/>
        </w:rPr>
        <w:t xml:space="preserve">Что делает процесс?</w:t>
      </w:r>
    </w:p>
    <w:p>
      <w:pPr>
        <w:numPr>
          <w:numId w:val="1085"/>
          <w:ilvl w:val="0"/>
        </w:numPr>
      </w:pPr>
      <w:r>
        <w:t xml:space="preserve">Получает email с формы обращения (таблица контактов автора)</w:t>
      </w:r>
    </w:p>
    <w:p>
      <w:pPr>
        <w:numPr>
          <w:numId w:val="1085"/>
          <w:ilvl w:val="0"/>
        </w:numPr>
      </w:pPr>
      <w:r>
        <w:t xml:space="preserve">Получает формат уведомления для статуса Ожидает оценки пользователя</w:t>
      </w:r>
    </w:p>
    <w:p>
      <w:pPr>
        <w:pStyle w:val="FirstParagraph"/>
      </w:pPr>
      <w:r>
        <w:t xml:space="preserve">3. Отправляет на найденный email уведомление о необходимости подтвердить завершение решения с двумя ссылками «Отправлен повторно», «Завершение подтверждено»</w:t>
      </w:r>
      <w:r>
        <w:t xml:space="preserve"> </w:t>
      </w:r>
      <w:r>
        <w:rPr>
          <w:i/>
        </w:rPr>
        <w:t xml:space="preserve">Прим. После отправки процесс разблокируется. По нажатию на ссылку завершится текущая на тот момент работа «Ожидание оценки». Подробнее - в разделе статуса)</w:t>
      </w:r>
    </w:p>
    <w:bookmarkEnd w:id="116"/>
    <w:bookmarkStart w:id="117" w:name="Incident_structure.xhtml#event-blocking-incident-calc-status-1"/>
    <w:p>
      <w:pPr>
        <w:pStyle w:val="Heading3"/>
      </w:pPr>
      <w:hyperlink w:anchor="Incident_structure.xhtml#id37">
        <w:r>
          <w:rPr>
            <w:rStyle w:val="Hyperlink"/>
          </w:rPr>
          <w:t xml:space="preserve">6.3.5. event.blocking.incident.calc.status.1</w:t>
        </w:r>
      </w:hyperlink>
    </w:p>
    <w:p>
      <w:pPr>
        <w:pStyle w:val="FirstParagraph"/>
      </w:pPr>
      <w:r>
        <w:rPr>
          <w:b/>
        </w:rPr>
        <w:t xml:space="preserve">Что делает процесс?</w:t>
      </w:r>
    </w:p>
    <w:p>
      <w:pPr>
        <w:numPr>
          <w:numId w:val="1086"/>
          <w:ilvl w:val="0"/>
        </w:numPr>
      </w:pPr>
      <w:r>
        <w:t xml:space="preserve">Получает из формы SLA время решения и время реакции по параметрам данного обращения</w:t>
      </w:r>
    </w:p>
    <w:p>
      <w:pPr>
        <w:numPr>
          <w:numId w:val="1086"/>
          <w:ilvl w:val="0"/>
        </w:numPr>
      </w:pPr>
      <w:r>
        <w:t xml:space="preserve">Записывает их на форму обращения</w:t>
      </w:r>
    </w:p>
    <w:p>
      <w:pPr>
        <w:numPr>
          <w:numId w:val="1086"/>
          <w:ilvl w:val="0"/>
        </w:numPr>
      </w:pPr>
      <w:r>
        <w:t xml:space="preserve">Рассчитывает плановую дату завершения с учетом рабочего календаря</w:t>
      </w:r>
    </w:p>
    <w:p>
      <w:pPr>
        <w:numPr>
          <w:numId w:val="1086"/>
          <w:ilvl w:val="0"/>
        </w:numPr>
      </w:pPr>
      <w:r>
        <w:t xml:space="preserve">Записывает плановые даты завершения на форму обращения</w:t>
      </w:r>
    </w:p>
    <w:bookmarkEnd w:id="117"/>
    <w:bookmarkEnd w:id="118"/>
    <w:bookmarkStart w:id="123" w:name="Incident_structure.xhtml#id10"/>
    <w:p>
      <w:pPr>
        <w:pStyle w:val="Heading2"/>
      </w:pPr>
      <w:hyperlink w:anchor="Incident_structure.xhtml#id38">
        <w:r>
          <w:rPr>
            <w:rStyle w:val="Hyperlink"/>
          </w:rPr>
          <w:t xml:space="preserve">6.4. Дополнительные механизмы</w:t>
        </w:r>
      </w:hyperlink>
    </w:p>
    <w:bookmarkStart w:id="119" w:name="Incident_structure.xhtml#id11"/>
    <w:p>
      <w:pPr>
        <w:pStyle w:val="Heading3"/>
      </w:pPr>
      <w:hyperlink w:anchor="Incident_structure.xhtml#id39">
        <w:r>
          <w:rPr>
            <w:rStyle w:val="Hyperlink"/>
          </w:rPr>
          <w:t xml:space="preserve">6.4.1. Переназачение обращения</w:t>
        </w:r>
      </w:hyperlink>
    </w:p>
    <w:p>
      <w:pPr>
        <w:numPr>
          <w:numId w:val="1087"/>
          <w:ilvl w:val="0"/>
        </w:numPr>
      </w:pPr>
      <w:r>
        <w:t xml:space="preserve">Получает ход выполнения по обращению</w:t>
      </w:r>
    </w:p>
    <w:p>
      <w:pPr>
        <w:numPr>
          <w:numId w:val="1087"/>
          <w:ilvl w:val="0"/>
        </w:numPr>
      </w:pPr>
      <w:r>
        <w:t xml:space="preserve">Сохраняет на форме обращения статус «На очереди»</w:t>
      </w:r>
    </w:p>
    <w:p>
      <w:pPr>
        <w:numPr>
          <w:numId w:val="1087"/>
          <w:ilvl w:val="0"/>
        </w:numPr>
      </w:pPr>
      <w:r>
        <w:t xml:space="preserve">Завершает текущую работу по обращению</w:t>
      </w:r>
    </w:p>
    <w:p>
      <w:pPr>
        <w:pStyle w:val="FirstParagraph"/>
      </w:pPr>
      <w:r>
        <w:rPr>
          <w:i/>
        </w:rPr>
        <w:t xml:space="preserve">Прим. Функция переназначения работ позволяет оператору завершить работу, в которой он не является ни исполнмтелем, ни автором</w:t>
      </w:r>
    </w:p>
    <w:bookmarkEnd w:id="119"/>
    <w:bookmarkStart w:id="120" w:name="Incident_structure.xhtml#id12"/>
    <w:p>
      <w:pPr>
        <w:pStyle w:val="Heading3"/>
      </w:pPr>
      <w:hyperlink w:anchor="Incident_structure.xhtml#id40">
        <w:r>
          <w:rPr>
            <w:rStyle w:val="Hyperlink"/>
          </w:rPr>
          <w:t xml:space="preserve">6.4.2. Операции над фильтрами</w:t>
        </w:r>
      </w:hyperlink>
    </w:p>
    <w:p>
      <w:pPr>
        <w:pStyle w:val="FirstParagraph"/>
      </w:pPr>
      <w:r>
        <w:t xml:space="preserve">Для всех обращений в указанном преднастроенном фильтре:</w:t>
      </w:r>
    </w:p>
    <w:p>
      <w:pPr>
        <w:numPr>
          <w:numId w:val="1088"/>
          <w:ilvl w:val="0"/>
        </w:numPr>
      </w:pPr>
      <w:r>
        <w:t xml:space="preserve">Завершает текущую работу с формой завершения с заполненными полями статус и группа полей статуса</w:t>
      </w:r>
    </w:p>
    <w:bookmarkEnd w:id="120"/>
    <w:bookmarkStart w:id="122" w:name="Incident_structure.xhtml#id13"/>
    <w:p>
      <w:pPr>
        <w:pStyle w:val="Heading3"/>
      </w:pPr>
      <w:hyperlink w:anchor="Incident_structure.xhtml#id41">
        <w:r>
          <w:rPr>
            <w:rStyle w:val="Hyperlink"/>
          </w:rPr>
          <w:t xml:space="preserve">6.4.3. Операции над выборкой</w:t>
        </w:r>
      </w:hyperlink>
    </w:p>
    <w:p>
      <w:pPr>
        <w:pStyle w:val="FirstParagraph"/>
      </w:pPr>
      <w:r>
        <w:t xml:space="preserve">Для всех обращений произвольной выборки:</w:t>
      </w:r>
    </w:p>
    <w:p>
      <w:pPr>
        <w:numPr>
          <w:numId w:val="1089"/>
          <w:ilvl w:val="0"/>
        </w:numPr>
      </w:pPr>
      <w:r>
        <w:t xml:space="preserve">Завершает текущую работу с формой завершения с заполненными полями статус и группа полей статуса</w:t>
      </w:r>
    </w:p>
    <w:p>
      <w:pPr>
        <w:pStyle w:val="FirstParagraph"/>
      </w:pPr>
      <w:r>
        <w:t xml:space="preserve">Совет</w:t>
      </w:r>
    </w:p>
    <w:p>
      <w:pPr>
        <w:pStyle w:val="BodyText"/>
      </w:pPr>
      <w:r>
        <w:t xml:space="preserve">Проверь себя, выполни</w:t>
      </w:r>
      <w:r>
        <w:t xml:space="preserve"> </w:t>
      </w:r>
      <w:hyperlink r:id="rId121">
        <w:r>
          <w:rPr>
            <w:rStyle w:val="Hyperlink"/>
          </w:rPr>
          <w:t xml:space="preserve">Задание_6</w:t>
        </w:r>
      </w:hyperlink>
      <w:r>
        <w:t xml:space="preserve"> </w:t>
      </w:r>
      <w:r>
        <w:t xml:space="preserve">[http://rtd.lan.arta.kz/docs/itsm-custom-maual/ru/latest/Task_6.html]</w:t>
      </w:r>
    </w:p>
    <w:bookmarkEnd w:id="122"/>
    <w:bookmarkEnd w:id="123"/>
    <w:bookmarkEnd w:id="124"/>
    <w:p>
      <w:pPr>
        <w:pStyle w:val="BodyText"/>
      </w:pPr>
      <w:bookmarkStart w:id="125" w:name="Portal.xhtml"/>
      <w:bookmarkEnd w:id="125"/>
    </w:p>
    <w:bookmarkStart w:id="141" w:name="Portal.xhtml#id1"/>
    <w:p>
      <w:pPr>
        <w:pStyle w:val="Heading1"/>
      </w:pPr>
      <w:r>
        <w:t xml:space="preserve">7. Портал. Как все устроено.</w:t>
      </w:r>
    </w:p>
    <w:bookmarkStart w:id="132" w:name="Portal.xhtml#id2"/>
    <w:p>
      <w:pPr>
        <w:pStyle w:val="Heading2"/>
      </w:pPr>
      <w:r>
        <w:t xml:space="preserve">7.1. Структура портала</w:t>
      </w:r>
    </w:p>
    <w:p>
      <w:pPr>
        <w:pStyle w:val="FirstParagraph"/>
      </w:pPr>
      <w:r>
        <w:t xml:space="preserve">Система Synergy ITSM предназначена для использования внутри компании, в следствие этого,</w:t>
      </w:r>
      <w:r>
        <w:t xml:space="preserve"> </w:t>
      </w:r>
      <w:r>
        <w:t xml:space="preserve">функции портала системы должны быть доступны только авторизованным пользователям.</w:t>
      </w:r>
      <w:r>
        <w:t xml:space="preserve"> </w:t>
      </w:r>
      <w:r>
        <w:t xml:space="preserve">Предоставления доступа к сервисам компании в «гостевом режиме» не предполагается.</w:t>
      </w:r>
    </w:p>
    <w:p>
      <w:pPr>
        <w:pStyle w:val="BodyText"/>
      </w:pPr>
      <w:r>
        <w:t xml:space="preserve">Доступ на портал имеют только пользователи зарегистрированные в Административном приложении Synergy.</w:t>
      </w:r>
      <w:r>
        <w:t xml:space="preserve"> </w:t>
      </w:r>
      <w:r>
        <w:t xml:space="preserve">Авторизация на портал осуществляется посредством авторизационных данных Synergy.</w:t>
      </w:r>
    </w:p>
    <w:bookmarkStart w:id="126" w:name="Portal.xhtml#id3"/>
    <w:p>
      <w:pPr>
        <w:pStyle w:val="Heading3"/>
      </w:pPr>
      <w:r>
        <w:t xml:space="preserve">7.1.1. Страница авторизации</w:t>
      </w:r>
    </w:p>
    <w:p>
      <w:pPr>
        <w:pStyle w:val="FirstParagraph"/>
      </w:pPr>
      <w:r>
        <w:t xml:space="preserve">При переходе по урл портала первой открывается страница авторизации.</w:t>
      </w:r>
      <w:r>
        <w:t xml:space="preserve"> </w:t>
      </w:r>
      <w:r>
        <w:t xml:space="preserve">На странице авторизации доступны:</w:t>
      </w:r>
    </w:p>
    <w:p>
      <w:pPr>
        <w:pStyle w:val="BlockText"/>
        <w:numPr>
          <w:numId w:val="1090"/>
          <w:ilvl w:val="0"/>
        </w:numPr>
      </w:pPr>
      <w:r>
        <w:t xml:space="preserve">Поле для ввода логина</w:t>
      </w:r>
    </w:p>
    <w:p>
      <w:pPr>
        <w:pStyle w:val="BlockText"/>
        <w:numPr>
          <w:numId w:val="1090"/>
          <w:ilvl w:val="0"/>
        </w:numPr>
      </w:pPr>
      <w:r>
        <w:t xml:space="preserve">Поле для ввода пароля</w:t>
      </w:r>
    </w:p>
    <w:p>
      <w:pPr>
        <w:pStyle w:val="BlockText"/>
        <w:numPr>
          <w:numId w:val="1090"/>
          <w:ilvl w:val="0"/>
        </w:numPr>
      </w:pPr>
      <w:r>
        <w:t xml:space="preserve">Кнопка «Войти»</w:t>
      </w:r>
    </w:p>
    <w:p>
      <w:pPr>
        <w:pStyle w:val="BlockText"/>
        <w:numPr>
          <w:numId w:val="1090"/>
          <w:ilvl w:val="0"/>
        </w:numPr>
      </w:pPr>
      <w:r>
        <w:t xml:space="preserve">Сслыка «Забыли пароль»</w:t>
      </w:r>
    </w:p>
    <w:bookmarkEnd w:id="126"/>
    <w:bookmarkStart w:id="127" w:name="Portal.xhtml#id4"/>
    <w:p>
      <w:pPr>
        <w:pStyle w:val="Heading3"/>
      </w:pPr>
      <w:r>
        <w:t xml:space="preserve">7.1.2. Главная</w:t>
      </w:r>
    </w:p>
    <w:p>
      <w:pPr>
        <w:pStyle w:val="FirstParagraph"/>
      </w:pPr>
      <w:r>
        <w:t xml:space="preserve">Верхняя панель:</w:t>
      </w:r>
    </w:p>
    <w:p>
      <w:pPr>
        <w:pStyle w:val="BlockText"/>
        <w:numPr>
          <w:numId w:val="1091"/>
          <w:ilvl w:val="0"/>
        </w:numPr>
      </w:pPr>
      <w:r>
        <w:t xml:space="preserve">Логотип компании</w:t>
      </w:r>
    </w:p>
    <w:p>
      <w:pPr>
        <w:pStyle w:val="BlockText"/>
        <w:numPr>
          <w:numId w:val="1091"/>
          <w:ilvl w:val="0"/>
        </w:numPr>
      </w:pPr>
      <w:r>
        <w:t xml:space="preserve">ФИО авторизованного пользователя</w:t>
      </w:r>
    </w:p>
    <w:p>
      <w:pPr>
        <w:pStyle w:val="BlockText"/>
        <w:numPr>
          <w:numId w:val="1091"/>
          <w:ilvl w:val="0"/>
        </w:numPr>
      </w:pPr>
      <w:r>
        <w:t xml:space="preserve">Контакты службы поддержки</w:t>
      </w:r>
    </w:p>
    <w:p>
      <w:pPr>
        <w:pStyle w:val="DefinitionTerm"/>
        <w:pStyle w:val="BlockText"/>
        <w:numPr>
          <w:numId w:val="1091"/>
          <w:ilvl w:val="0"/>
        </w:numPr>
      </w:pPr>
      <w:r>
        <w:t xml:space="preserve">Каталог услуг</w:t>
      </w:r>
    </w:p>
    <w:p>
      <w:pPr>
        <w:pStyle w:val="Definition"/>
        <w:pStyle w:val="BlockText"/>
        <w:numPr>
          <w:numId w:val="1092"/>
          <w:ilvl w:val="1"/>
        </w:numPr>
      </w:pPr>
      <w:r>
        <w:t xml:space="preserve">Популярные услуги</w:t>
      </w:r>
    </w:p>
    <w:p>
      <w:pPr>
        <w:pStyle w:val="Definition"/>
        <w:pStyle w:val="BlockText"/>
        <w:numPr>
          <w:numId w:val="1092"/>
          <w:ilvl w:val="1"/>
        </w:numPr>
      </w:pPr>
      <w:r>
        <w:t xml:space="preserve">Категории услуг</w:t>
      </w:r>
    </w:p>
    <w:p>
      <w:pPr>
        <w:pStyle w:val="Definition"/>
        <w:pStyle w:val="BlockText"/>
        <w:numPr>
          <w:numId w:val="1092"/>
          <w:ilvl w:val="1"/>
        </w:numPr>
      </w:pPr>
      <w:r>
        <w:t xml:space="preserve">Услуги выбранной категории</w:t>
      </w:r>
    </w:p>
    <w:p>
      <w:pPr>
        <w:pStyle w:val="BlockText"/>
        <w:numPr>
          <w:numId w:val="1091"/>
          <w:ilvl w:val="0"/>
        </w:numPr>
      </w:pPr>
      <w:r>
        <w:t xml:space="preserve">Поиск по услугам ???</w:t>
      </w:r>
    </w:p>
    <w:p>
      <w:pPr>
        <w:pStyle w:val="BlockText"/>
        <w:numPr>
          <w:numId w:val="1091"/>
          <w:ilvl w:val="0"/>
        </w:numPr>
      </w:pPr>
      <w:r>
        <w:t xml:space="preserve">«Что еще мы можем улучшить?» ???</w:t>
      </w:r>
    </w:p>
    <w:bookmarkEnd w:id="127"/>
    <w:bookmarkStart w:id="128" w:name="Portal.xhtml#id5"/>
    <w:p>
      <w:pPr>
        <w:pStyle w:val="Heading3"/>
      </w:pPr>
      <w:r>
        <w:t xml:space="preserve">7.1.3. Мои обращения. В работе</w:t>
      </w:r>
    </w:p>
    <w:p>
      <w:pPr>
        <w:pStyle w:val="FirstParagraph"/>
      </w:pPr>
      <w:r>
        <w:t xml:space="preserve">В данном разделел отображаются записи реестра «Инциденты», автором которых является авторизованный на портале пользователь,</w:t>
      </w:r>
      <w:r>
        <w:t xml:space="preserve"> </w:t>
      </w:r>
      <w:r>
        <w:t xml:space="preserve">при этом статус обращения</w:t>
      </w:r>
      <w:r>
        <w:t xml:space="preserve"> </w:t>
      </w:r>
      <w:r>
        <w:rPr>
          <w:b/>
        </w:rPr>
        <w:t xml:space="preserve">не равен</w:t>
      </w:r>
      <w:r>
        <w:t xml:space="preserve">:</w:t>
      </w:r>
    </w:p>
    <w:p>
      <w:pPr>
        <w:pStyle w:val="BlockText"/>
        <w:numPr>
          <w:numId w:val="1093"/>
          <w:ilvl w:val="0"/>
        </w:numPr>
      </w:pPr>
      <w:r>
        <w:t xml:space="preserve">Ожидает ответа пользователя</w:t>
      </w:r>
    </w:p>
    <w:p>
      <w:pPr>
        <w:pStyle w:val="BlockText"/>
        <w:numPr>
          <w:numId w:val="1093"/>
          <w:ilvl w:val="0"/>
        </w:numPr>
      </w:pPr>
      <w:r>
        <w:t xml:space="preserve">Ожидает подтверждения завершения</w:t>
      </w:r>
    </w:p>
    <w:p>
      <w:pPr>
        <w:pStyle w:val="BlockText"/>
        <w:numPr>
          <w:numId w:val="1093"/>
          <w:ilvl w:val="0"/>
        </w:numPr>
      </w:pPr>
      <w:r>
        <w:t xml:space="preserve">Закрыт</w:t>
      </w:r>
    </w:p>
    <w:p>
      <w:pPr>
        <w:pStyle w:val="FirstParagraph"/>
      </w:pPr>
      <w:r>
        <w:rPr>
          <w:b/>
        </w:rPr>
        <w:t xml:space="preserve">Левая панель</w:t>
      </w:r>
    </w:p>
    <w:p>
      <w:pPr>
        <w:pStyle w:val="BodyText"/>
      </w:pPr>
      <w:r>
        <w:t xml:space="preserve">4 раздела:</w:t>
      </w:r>
    </w:p>
    <w:p>
      <w:pPr>
        <w:pStyle w:val="BlockText"/>
        <w:numPr>
          <w:numId w:val="1094"/>
          <w:ilvl w:val="0"/>
        </w:numPr>
      </w:pPr>
      <w:r>
        <w:t xml:space="preserve">В работе,</w:t>
      </w:r>
    </w:p>
    <w:p>
      <w:pPr>
        <w:pStyle w:val="BlockText"/>
        <w:numPr>
          <w:numId w:val="1094"/>
          <w:ilvl w:val="0"/>
        </w:numPr>
      </w:pPr>
      <w:r>
        <w:t xml:space="preserve">Ожидают дополнительной информации</w:t>
      </w:r>
    </w:p>
    <w:p>
      <w:pPr>
        <w:pStyle w:val="BlockText"/>
        <w:numPr>
          <w:numId w:val="1094"/>
          <w:ilvl w:val="0"/>
        </w:numPr>
      </w:pPr>
      <w:r>
        <w:t xml:space="preserve">Ожидают подтверждения завершения</w:t>
      </w:r>
    </w:p>
    <w:p>
      <w:pPr>
        <w:pStyle w:val="BlockText"/>
        <w:numPr>
          <w:numId w:val="1094"/>
          <w:ilvl w:val="0"/>
        </w:numPr>
      </w:pPr>
      <w:r>
        <w:t xml:space="preserve">Завершенные.</w:t>
      </w:r>
    </w:p>
    <w:p>
      <w:pPr>
        <w:pStyle w:val="FirstParagraph"/>
      </w:pPr>
      <w:r>
        <w:t xml:space="preserve">Выделен раздел «В работе»</w:t>
      </w:r>
    </w:p>
    <w:p>
      <w:pPr>
        <w:pStyle w:val="BodyText"/>
      </w:pPr>
      <w:r>
        <w:t xml:space="preserve">Отображается количество обращений в каждом из разделов, при этом более явно выделены счетчики для разделов,</w:t>
      </w:r>
      <w:r>
        <w:t xml:space="preserve"> </w:t>
      </w:r>
      <w:r>
        <w:t xml:space="preserve">требующих действий пользователя, а именно:</w:t>
      </w:r>
    </w:p>
    <w:p>
      <w:pPr>
        <w:pStyle w:val="BlockText"/>
        <w:numPr>
          <w:numId w:val="1095"/>
          <w:ilvl w:val="0"/>
        </w:numPr>
      </w:pPr>
      <w:r>
        <w:t xml:space="preserve">Ожидают дополнительной информации</w:t>
      </w:r>
    </w:p>
    <w:p>
      <w:pPr>
        <w:pStyle w:val="BlockText"/>
        <w:numPr>
          <w:numId w:val="1095"/>
          <w:ilvl w:val="0"/>
        </w:numPr>
      </w:pPr>
      <w:r>
        <w:t xml:space="preserve">Ожидают подтверждения завершения</w:t>
      </w:r>
    </w:p>
    <w:p>
      <w:pPr>
        <w:pStyle w:val="FirstParagraph"/>
      </w:pPr>
      <w:r>
        <w:rPr>
          <w:b/>
        </w:rPr>
        <w:t xml:space="preserve">Таблица обращений</w:t>
      </w:r>
    </w:p>
    <w:p>
      <w:pPr>
        <w:pStyle w:val="BlockText"/>
        <w:numPr>
          <w:numId w:val="1096"/>
          <w:ilvl w:val="0"/>
        </w:numPr>
      </w:pPr>
      <w:r>
        <w:t xml:space="preserve">Номер</w:t>
      </w:r>
    </w:p>
    <w:p>
      <w:pPr>
        <w:pStyle w:val="BlockText"/>
        <w:numPr>
          <w:numId w:val="1096"/>
          <w:ilvl w:val="0"/>
        </w:numPr>
      </w:pPr>
      <w:r>
        <w:t xml:space="preserve">Дата</w:t>
      </w:r>
    </w:p>
    <w:p>
      <w:pPr>
        <w:pStyle w:val="BlockText"/>
        <w:numPr>
          <w:numId w:val="1096"/>
          <w:ilvl w:val="0"/>
        </w:numPr>
      </w:pPr>
      <w:r>
        <w:t xml:space="preserve">Статус</w:t>
      </w:r>
    </w:p>
    <w:p>
      <w:pPr>
        <w:pStyle w:val="BlockText"/>
        <w:numPr>
          <w:numId w:val="1096"/>
          <w:ilvl w:val="0"/>
        </w:numPr>
      </w:pPr>
      <w:r>
        <w:t xml:space="preserve">Услуга</w:t>
      </w:r>
    </w:p>
    <w:p>
      <w:pPr>
        <w:pStyle w:val="BlockText"/>
        <w:numPr>
          <w:numId w:val="1096"/>
          <w:ilvl w:val="0"/>
        </w:numPr>
      </w:pPr>
      <w:r>
        <w:t xml:space="preserve">Тема</w:t>
      </w:r>
    </w:p>
    <w:p>
      <w:pPr>
        <w:pStyle w:val="BlockText"/>
        <w:numPr>
          <w:numId w:val="1096"/>
          <w:ilvl w:val="0"/>
        </w:numPr>
      </w:pPr>
      <w:r>
        <w:t xml:space="preserve">Время решения</w:t>
      </w:r>
    </w:p>
    <w:bookmarkEnd w:id="128"/>
    <w:bookmarkStart w:id="129" w:name="Portal.xhtml#id6"/>
    <w:p>
      <w:pPr>
        <w:pStyle w:val="Heading3"/>
      </w:pPr>
      <w:r>
        <w:t xml:space="preserve">7.1.4. Мои обращения. Ожидают дополнительной информации</w:t>
      </w:r>
    </w:p>
    <w:p>
      <w:pPr>
        <w:pStyle w:val="FirstParagraph"/>
      </w:pPr>
      <w:r>
        <w:t xml:space="preserve">В данном разделел отображаются записи реестра «Инциденты», автором которых является авторизованный на портале пользователь,</w:t>
      </w:r>
      <w:r>
        <w:t xml:space="preserve"> </w:t>
      </w:r>
      <w:r>
        <w:t xml:space="preserve">при этом статус обращения</w:t>
      </w:r>
      <w:r>
        <w:t xml:space="preserve"> </w:t>
      </w:r>
      <w:r>
        <w:rPr>
          <w:b/>
        </w:rPr>
        <w:t xml:space="preserve">равен</w:t>
      </w:r>
      <w:r>
        <w:t xml:space="preserve">:</w:t>
      </w:r>
    </w:p>
    <w:p>
      <w:pPr>
        <w:pStyle w:val="BlockText"/>
        <w:numPr>
          <w:numId w:val="1097"/>
          <w:ilvl w:val="0"/>
        </w:numPr>
      </w:pPr>
      <w:r>
        <w:t xml:space="preserve">Ожидает ответа пользователя</w:t>
      </w:r>
    </w:p>
    <w:p>
      <w:pPr>
        <w:pStyle w:val="FirstParagraph"/>
      </w:pPr>
      <w:r>
        <w:rPr>
          <w:b/>
        </w:rPr>
        <w:t xml:space="preserve">Левая панель</w:t>
      </w:r>
    </w:p>
    <w:p>
      <w:pPr>
        <w:pStyle w:val="BodyText"/>
      </w:pPr>
      <w:r>
        <w:t xml:space="preserve">Выделен раздел: Ожидают дополнительной информации</w:t>
      </w:r>
    </w:p>
    <w:p>
      <w:pPr>
        <w:pStyle w:val="BodyText"/>
      </w:pPr>
      <w:r>
        <w:rPr>
          <w:b/>
        </w:rPr>
        <w:t xml:space="preserve">Таблица обращений</w:t>
      </w:r>
    </w:p>
    <w:p>
      <w:pPr>
        <w:pStyle w:val="BlockText"/>
        <w:numPr>
          <w:numId w:val="1098"/>
          <w:ilvl w:val="0"/>
        </w:numPr>
      </w:pPr>
      <w:r>
        <w:t xml:space="preserve">Номер</w:t>
      </w:r>
    </w:p>
    <w:p>
      <w:pPr>
        <w:pStyle w:val="BlockText"/>
        <w:numPr>
          <w:numId w:val="1098"/>
          <w:ilvl w:val="0"/>
        </w:numPr>
      </w:pPr>
      <w:r>
        <w:t xml:space="preserve">Дата</w:t>
      </w:r>
    </w:p>
    <w:p>
      <w:pPr>
        <w:pStyle w:val="BlockText"/>
        <w:numPr>
          <w:numId w:val="1098"/>
          <w:ilvl w:val="0"/>
        </w:numPr>
      </w:pPr>
      <w:r>
        <w:t xml:space="preserve">Статус</w:t>
      </w:r>
    </w:p>
    <w:p>
      <w:pPr>
        <w:pStyle w:val="BlockText"/>
        <w:numPr>
          <w:numId w:val="1098"/>
          <w:ilvl w:val="0"/>
        </w:numPr>
      </w:pPr>
      <w:r>
        <w:t xml:space="preserve">Услуга</w:t>
      </w:r>
    </w:p>
    <w:p>
      <w:pPr>
        <w:pStyle w:val="BlockText"/>
        <w:numPr>
          <w:numId w:val="1098"/>
          <w:ilvl w:val="0"/>
        </w:numPr>
      </w:pPr>
      <w:r>
        <w:t xml:space="preserve">Тема</w:t>
      </w:r>
    </w:p>
    <w:p>
      <w:pPr>
        <w:pStyle w:val="BlockText"/>
        <w:numPr>
          <w:numId w:val="1098"/>
          <w:ilvl w:val="0"/>
        </w:numPr>
      </w:pPr>
      <w:r>
        <w:t xml:space="preserve">Время решения</w:t>
      </w:r>
    </w:p>
    <w:p>
      <w:pPr>
        <w:pStyle w:val="BlockText"/>
        <w:numPr>
          <w:numId w:val="1098"/>
          <w:ilvl w:val="0"/>
        </w:numPr>
      </w:pPr>
      <w:r>
        <w:t xml:space="preserve">Запрос на доработку</w:t>
      </w:r>
    </w:p>
    <w:bookmarkEnd w:id="129"/>
    <w:bookmarkStart w:id="130" w:name="Portal.xhtml#id7"/>
    <w:p>
      <w:pPr>
        <w:pStyle w:val="Heading3"/>
      </w:pPr>
      <w:r>
        <w:t xml:space="preserve">7.1.5. Мои обращения. Ожидают подтверждения завершения</w:t>
      </w:r>
    </w:p>
    <w:p>
      <w:pPr>
        <w:pStyle w:val="FirstParagraph"/>
      </w:pPr>
      <w:r>
        <w:t xml:space="preserve">В данном разделел отображаются записи реестра «Инциденты», автором которых является авторизованный на портале пользователь,</w:t>
      </w:r>
      <w:r>
        <w:t xml:space="preserve"> </w:t>
      </w:r>
      <w:r>
        <w:t xml:space="preserve">при этом статус обращения</w:t>
      </w:r>
      <w:r>
        <w:t xml:space="preserve"> </w:t>
      </w:r>
      <w:r>
        <w:rPr>
          <w:b/>
        </w:rPr>
        <w:t xml:space="preserve">равен</w:t>
      </w:r>
      <w:r>
        <w:t xml:space="preserve">:</w:t>
      </w:r>
    </w:p>
    <w:p>
      <w:pPr>
        <w:pStyle w:val="BlockText"/>
        <w:numPr>
          <w:numId w:val="1099"/>
          <w:ilvl w:val="0"/>
        </w:numPr>
      </w:pPr>
      <w:r>
        <w:t xml:space="preserve">Ожидает подтверждения завершения</w:t>
      </w:r>
    </w:p>
    <w:p>
      <w:pPr>
        <w:pStyle w:val="FirstParagraph"/>
      </w:pPr>
      <w:r>
        <w:rPr>
          <w:b/>
        </w:rPr>
        <w:t xml:space="preserve">Левая панель</w:t>
      </w:r>
    </w:p>
    <w:p>
      <w:pPr>
        <w:pStyle w:val="BodyText"/>
      </w:pPr>
      <w:r>
        <w:t xml:space="preserve">Выделен раздел: Ожидают подтверждения завершения</w:t>
      </w:r>
    </w:p>
    <w:p>
      <w:pPr>
        <w:pStyle w:val="BodyText"/>
      </w:pPr>
      <w:r>
        <w:rPr>
          <w:b/>
        </w:rPr>
        <w:t xml:space="preserve">Таблица обращений</w:t>
      </w:r>
    </w:p>
    <w:p>
      <w:pPr>
        <w:pStyle w:val="BlockText"/>
        <w:numPr>
          <w:numId w:val="1100"/>
          <w:ilvl w:val="0"/>
        </w:numPr>
      </w:pPr>
      <w:r>
        <w:t xml:space="preserve">Номер</w:t>
      </w:r>
    </w:p>
    <w:p>
      <w:pPr>
        <w:pStyle w:val="BlockText"/>
        <w:numPr>
          <w:numId w:val="1100"/>
          <w:ilvl w:val="0"/>
        </w:numPr>
      </w:pPr>
      <w:r>
        <w:t xml:space="preserve">Дата</w:t>
      </w:r>
    </w:p>
    <w:p>
      <w:pPr>
        <w:pStyle w:val="BlockText"/>
        <w:numPr>
          <w:numId w:val="1100"/>
          <w:ilvl w:val="0"/>
        </w:numPr>
      </w:pPr>
      <w:r>
        <w:t xml:space="preserve">Статус</w:t>
      </w:r>
    </w:p>
    <w:p>
      <w:pPr>
        <w:pStyle w:val="BlockText"/>
        <w:numPr>
          <w:numId w:val="1100"/>
          <w:ilvl w:val="0"/>
        </w:numPr>
      </w:pPr>
      <w:r>
        <w:t xml:space="preserve">Услуга</w:t>
      </w:r>
    </w:p>
    <w:p>
      <w:pPr>
        <w:pStyle w:val="BlockText"/>
        <w:numPr>
          <w:numId w:val="1100"/>
          <w:ilvl w:val="0"/>
        </w:numPr>
      </w:pPr>
      <w:r>
        <w:t xml:space="preserve">Тема</w:t>
      </w:r>
    </w:p>
    <w:p>
      <w:pPr>
        <w:pStyle w:val="BlockText"/>
        <w:numPr>
          <w:numId w:val="1100"/>
          <w:ilvl w:val="0"/>
        </w:numPr>
      </w:pPr>
      <w:r>
        <w:t xml:space="preserve">Время решения</w:t>
      </w:r>
    </w:p>
    <w:p>
      <w:pPr>
        <w:pStyle w:val="BlockText"/>
        <w:numPr>
          <w:numId w:val="1100"/>
          <w:ilvl w:val="0"/>
        </w:numPr>
      </w:pPr>
      <w:r>
        <w:t xml:space="preserve">Код решения</w:t>
      </w:r>
    </w:p>
    <w:p>
      <w:pPr>
        <w:pStyle w:val="BlockText"/>
        <w:numPr>
          <w:numId w:val="1100"/>
          <w:ilvl w:val="0"/>
        </w:numPr>
      </w:pPr>
      <w:r>
        <w:t xml:space="preserve">Описание решения</w:t>
      </w:r>
    </w:p>
    <w:bookmarkEnd w:id="130"/>
    <w:bookmarkStart w:id="131" w:name="Portal.xhtml#id8"/>
    <w:p>
      <w:pPr>
        <w:pStyle w:val="Heading3"/>
      </w:pPr>
      <w:r>
        <w:t xml:space="preserve">7.1.6. Мои обращения. Завершенные</w:t>
      </w:r>
    </w:p>
    <w:p>
      <w:pPr>
        <w:pStyle w:val="FirstParagraph"/>
      </w:pPr>
      <w:r>
        <w:t xml:space="preserve">В данном разделел отображаются записи реестра «Инциденты», автором которых является авторизованный на портале пользователь,</w:t>
      </w:r>
      <w:r>
        <w:t xml:space="preserve"> </w:t>
      </w:r>
      <w:r>
        <w:t xml:space="preserve">при этом статус обращения</w:t>
      </w:r>
      <w:r>
        <w:t xml:space="preserve"> </w:t>
      </w:r>
      <w:r>
        <w:rPr>
          <w:b/>
        </w:rPr>
        <w:t xml:space="preserve">равен</w:t>
      </w:r>
      <w:r>
        <w:t xml:space="preserve">:</w:t>
      </w:r>
    </w:p>
    <w:p>
      <w:pPr>
        <w:pStyle w:val="BlockText"/>
        <w:numPr>
          <w:numId w:val="1101"/>
          <w:ilvl w:val="0"/>
        </w:numPr>
      </w:pPr>
      <w:r>
        <w:t xml:space="preserve">Закрыт</w:t>
      </w:r>
    </w:p>
    <w:p>
      <w:pPr>
        <w:pStyle w:val="FirstParagraph"/>
      </w:pPr>
      <w:r>
        <w:rPr>
          <w:b/>
        </w:rPr>
        <w:t xml:space="preserve">Левая панель</w:t>
      </w:r>
    </w:p>
    <w:p>
      <w:pPr>
        <w:pStyle w:val="BodyText"/>
      </w:pPr>
      <w:r>
        <w:t xml:space="preserve">Выделен раздел: Закрыт</w:t>
      </w:r>
    </w:p>
    <w:p>
      <w:pPr>
        <w:pStyle w:val="BodyText"/>
      </w:pPr>
      <w:r>
        <w:rPr>
          <w:b/>
        </w:rPr>
        <w:t xml:space="preserve">Таблица обращений</w:t>
      </w:r>
    </w:p>
    <w:p>
      <w:pPr>
        <w:pStyle w:val="BlockText"/>
        <w:numPr>
          <w:numId w:val="1102"/>
          <w:ilvl w:val="0"/>
        </w:numPr>
      </w:pPr>
      <w:r>
        <w:t xml:space="preserve">Номер</w:t>
      </w:r>
    </w:p>
    <w:p>
      <w:pPr>
        <w:pStyle w:val="BlockText"/>
        <w:numPr>
          <w:numId w:val="1102"/>
          <w:ilvl w:val="0"/>
        </w:numPr>
      </w:pPr>
      <w:r>
        <w:t xml:space="preserve">Дата</w:t>
      </w:r>
    </w:p>
    <w:p>
      <w:pPr>
        <w:pStyle w:val="BlockText"/>
        <w:numPr>
          <w:numId w:val="1102"/>
          <w:ilvl w:val="0"/>
        </w:numPr>
      </w:pPr>
      <w:r>
        <w:t xml:space="preserve">Статус</w:t>
      </w:r>
    </w:p>
    <w:p>
      <w:pPr>
        <w:pStyle w:val="BlockText"/>
        <w:numPr>
          <w:numId w:val="1102"/>
          <w:ilvl w:val="0"/>
        </w:numPr>
      </w:pPr>
      <w:r>
        <w:t xml:space="preserve">Услуга</w:t>
      </w:r>
    </w:p>
    <w:p>
      <w:pPr>
        <w:pStyle w:val="BlockText"/>
        <w:numPr>
          <w:numId w:val="1102"/>
          <w:ilvl w:val="0"/>
        </w:numPr>
      </w:pPr>
      <w:r>
        <w:t xml:space="preserve">Тема</w:t>
      </w:r>
    </w:p>
    <w:p>
      <w:pPr>
        <w:pStyle w:val="BlockText"/>
        <w:numPr>
          <w:numId w:val="1102"/>
          <w:ilvl w:val="0"/>
        </w:numPr>
      </w:pPr>
      <w:r>
        <w:t xml:space="preserve">Время решения</w:t>
      </w:r>
    </w:p>
    <w:p>
      <w:pPr>
        <w:pStyle w:val="BlockText"/>
        <w:numPr>
          <w:numId w:val="1102"/>
          <w:ilvl w:val="0"/>
        </w:numPr>
      </w:pPr>
      <w:r>
        <w:t xml:space="preserve">Код решения</w:t>
      </w:r>
    </w:p>
    <w:p>
      <w:pPr>
        <w:pStyle w:val="BlockText"/>
        <w:numPr>
          <w:numId w:val="1102"/>
          <w:ilvl w:val="0"/>
        </w:numPr>
      </w:pPr>
      <w:r>
        <w:t xml:space="preserve">Описание решения</w:t>
      </w:r>
    </w:p>
    <w:bookmarkEnd w:id="131"/>
    <w:bookmarkEnd w:id="132"/>
    <w:bookmarkStart w:id="140" w:name="Portal.xhtml#id9"/>
    <w:p>
      <w:pPr>
        <w:pStyle w:val="Heading2"/>
      </w:pPr>
      <w:r>
        <w:t xml:space="preserve">7.2. Сценарии использования</w:t>
      </w:r>
    </w:p>
    <w:bookmarkStart w:id="133" w:name="Portal.xhtml#id10"/>
    <w:p>
      <w:pPr>
        <w:pStyle w:val="Heading3"/>
      </w:pPr>
      <w:r>
        <w:t xml:space="preserve">7.2.1. Подача обращения</w:t>
      </w:r>
    </w:p>
    <w:p>
      <w:pPr>
        <w:numPr>
          <w:numId w:val="1103"/>
          <w:ilvl w:val="0"/>
        </w:numPr>
      </w:pPr>
      <w:r>
        <w:t xml:space="preserve">На странице авторизации пользователь вводит логин и пароль, нажимает кнопку «Войти».</w:t>
      </w:r>
    </w:p>
    <w:p>
      <w:pPr>
        <w:numPr>
          <w:numId w:val="1103"/>
          <w:ilvl w:val="0"/>
        </w:numPr>
      </w:pPr>
      <w:r>
        <w:t xml:space="preserve">Открывается Главная страница</w:t>
      </w:r>
    </w:p>
    <w:p>
      <w:pPr>
        <w:numPr>
          <w:numId w:val="1103"/>
          <w:ilvl w:val="0"/>
        </w:numPr>
      </w:pPr>
      <w:r>
        <w:t xml:space="preserve">Пользователь нажимает на категорию услуги, отображается список услуг данной категории</w:t>
      </w:r>
    </w:p>
    <w:p>
      <w:pPr>
        <w:numPr>
          <w:numId w:val="1103"/>
          <w:ilvl w:val="0"/>
        </w:numPr>
      </w:pPr>
      <w:r>
        <w:t xml:space="preserve">Пользователь нажимает на одну из услуг - открывается окно подачи обращения с полями: Тема обращения, описание обращение, выбранная услуга, поле выбора одного или нескольких файлов.</w:t>
      </w:r>
    </w:p>
    <w:p>
      <w:pPr>
        <w:numPr>
          <w:numId w:val="1103"/>
          <w:ilvl w:val="0"/>
        </w:numPr>
      </w:pPr>
      <w:r>
        <w:t xml:space="preserve">Пользователь может закрыть окно подачи обращения без произведения каких-либо действий</w:t>
      </w:r>
    </w:p>
    <w:p>
      <w:pPr>
        <w:numPr>
          <w:numId w:val="1103"/>
          <w:ilvl w:val="0"/>
        </w:numPr>
      </w:pPr>
      <w:r>
        <w:t xml:space="preserve">Пользовател заполняет тему и описание, нажимает «Подать обращение»</w:t>
      </w:r>
    </w:p>
    <w:p>
      <w:pPr>
        <w:numPr>
          <w:numId w:val="1103"/>
          <w:ilvl w:val="0"/>
        </w:numPr>
      </w:pPr>
      <w:r>
        <w:t xml:space="preserve">Выходит сообщение: «Ваше обращение успешно создано, чтобы просмотреть его перейдите по ссылке» (и ссылка на окно «Мои обращения. В работе»)</w:t>
      </w:r>
    </w:p>
    <w:p>
      <w:pPr>
        <w:numPr>
          <w:numId w:val="1103"/>
          <w:ilvl w:val="0"/>
        </w:numPr>
      </w:pPr>
      <w:r>
        <w:t xml:space="preserve">Обращение создается в реестре «Инциденты» (Надо переименовать в Обращения), при этом заполняются поля:</w:t>
      </w:r>
    </w:p>
    <w:p>
      <w:pPr>
        <w:pStyle w:val="BlockText"/>
        <w:numPr>
          <w:numId w:val="1104"/>
          <w:ilvl w:val="1"/>
        </w:numPr>
      </w:pPr>
      <w:r>
        <w:t xml:space="preserve">Номер</w:t>
      </w:r>
    </w:p>
    <w:p>
      <w:pPr>
        <w:pStyle w:val="BlockText"/>
        <w:numPr>
          <w:numId w:val="1104"/>
          <w:ilvl w:val="1"/>
        </w:numPr>
      </w:pPr>
      <w:r>
        <w:t xml:space="preserve">Дата регистрации</w:t>
      </w:r>
    </w:p>
    <w:p>
      <w:pPr>
        <w:pStyle w:val="BlockText"/>
        <w:numPr>
          <w:numId w:val="1104"/>
          <w:ilvl w:val="1"/>
        </w:numPr>
      </w:pPr>
      <w:r>
        <w:t xml:space="preserve">Тема</w:t>
      </w:r>
    </w:p>
    <w:p>
      <w:pPr>
        <w:pStyle w:val="BlockText"/>
        <w:numPr>
          <w:numId w:val="1104"/>
          <w:ilvl w:val="1"/>
        </w:numPr>
      </w:pPr>
      <w:r>
        <w:t xml:space="preserve">Описание</w:t>
      </w:r>
    </w:p>
    <w:p>
      <w:pPr>
        <w:pStyle w:val="BlockText"/>
        <w:numPr>
          <w:numId w:val="1104"/>
          <w:ilvl w:val="1"/>
        </w:numPr>
      </w:pPr>
      <w:r>
        <w:t xml:space="preserve">Услуга</w:t>
      </w:r>
    </w:p>
    <w:p>
      <w:pPr>
        <w:pStyle w:val="BlockText"/>
        <w:numPr>
          <w:numId w:val="1104"/>
          <w:ilvl w:val="1"/>
        </w:numPr>
      </w:pPr>
      <w:r>
        <w:t xml:space="preserve">Автор</w:t>
      </w:r>
    </w:p>
    <w:p>
      <w:pPr>
        <w:pStyle w:val="FirstParagraph"/>
      </w:pPr>
      <w:r>
        <w:t xml:space="preserve">Запускается маршрут обращения (! от имени системного пользователя)</w:t>
      </w:r>
    </w:p>
    <w:p>
      <w:pPr>
        <w:pStyle w:val="BodyText"/>
      </w:pPr>
      <w:r>
        <w:t xml:space="preserve">Прим. Пункты 4-8 справедливы при выборе услуги в разделе «Популярные услуги»</w:t>
      </w:r>
    </w:p>
    <w:bookmarkEnd w:id="133"/>
    <w:bookmarkStart w:id="134" w:name="Portal.xhtml#id11"/>
    <w:p>
      <w:pPr>
        <w:pStyle w:val="Heading3"/>
      </w:pPr>
      <w:r>
        <w:t xml:space="preserve">7.2.2. Поиск по ключевым словам</w:t>
      </w:r>
    </w:p>
    <w:p>
      <w:pPr>
        <w:numPr>
          <w:numId w:val="1105"/>
          <w:ilvl w:val="0"/>
        </w:numPr>
      </w:pPr>
      <w:r>
        <w:t xml:space="preserve">Пользователь вводит на Главной странице в поле поиска ключевые слова и нажимает кнопку «Поиск»</w:t>
      </w:r>
    </w:p>
    <w:p>
      <w:pPr>
        <w:numPr>
          <w:numId w:val="1105"/>
          <w:ilvl w:val="0"/>
        </w:numPr>
      </w:pPr>
      <w:r>
        <w:t xml:space="preserve">Осуществляется поиск в реестре «Сервисы»(Прим. Надо переименовать в «Услуги») в полях «Наименование услуги», «описание услуги»</w:t>
      </w:r>
    </w:p>
    <w:p>
      <w:pPr>
        <w:numPr>
          <w:numId w:val="1105"/>
          <w:ilvl w:val="0"/>
        </w:numPr>
      </w:pPr>
      <w:r>
        <w:t xml:space="preserve">Найденные услуги отображаются списком (категория, наименование, описание) с выделенными совпадениями по ключевым словам.</w:t>
      </w:r>
    </w:p>
    <w:p>
      <w:pPr>
        <w:numPr>
          <w:numId w:val="1105"/>
          <w:ilvl w:val="0"/>
        </w:numPr>
      </w:pPr>
      <w:r>
        <w:t xml:space="preserve">Пользователь нажимает на одну из найденных услуг - открывается окно подачи обращения.</w:t>
      </w:r>
    </w:p>
    <w:p>
      <w:pPr>
        <w:numPr>
          <w:numId w:val="1105"/>
          <w:ilvl w:val="0"/>
        </w:numPr>
      </w:pPr>
      <w:r>
        <w:t xml:space="preserve">Далее пункты 5-8 сценария «Подача обращения»</w:t>
      </w:r>
    </w:p>
    <w:bookmarkEnd w:id="134"/>
    <w:bookmarkStart w:id="135" w:name="Portal.xhtml#id12"/>
    <w:p>
      <w:pPr>
        <w:pStyle w:val="Heading3"/>
      </w:pPr>
      <w:r>
        <w:t xml:space="preserve">7.2.3. Просмотр обращений</w:t>
      </w:r>
    </w:p>
    <w:p>
      <w:pPr>
        <w:numPr>
          <w:numId w:val="1106"/>
          <w:ilvl w:val="0"/>
        </w:numPr>
      </w:pPr>
      <w:r>
        <w:t xml:space="preserve">На главной странице пользователь нажимает «Мои обращения»</w:t>
      </w:r>
    </w:p>
    <w:p>
      <w:pPr>
        <w:numPr>
          <w:numId w:val="1106"/>
          <w:ilvl w:val="0"/>
        </w:numPr>
      </w:pPr>
      <w:r>
        <w:t xml:space="preserve">Открывается страница «Мои обращения. В работе»</w:t>
      </w:r>
    </w:p>
    <w:p>
      <w:pPr>
        <w:numPr>
          <w:numId w:val="1106"/>
          <w:ilvl w:val="0"/>
        </w:numPr>
      </w:pPr>
      <w:r>
        <w:t xml:space="preserve">Пользователь выбирает в списке одно обращение и двойным кликом открывает его</w:t>
      </w:r>
    </w:p>
    <w:p>
      <w:pPr>
        <w:numPr>
          <w:numId w:val="1106"/>
          <w:ilvl w:val="0"/>
        </w:numPr>
      </w:pPr>
      <w:r>
        <w:t xml:space="preserve">В окне просмотра обращений доступна информация:</w:t>
      </w:r>
    </w:p>
    <w:p>
      <w:pPr>
        <w:pStyle w:val="BlockText"/>
        <w:numPr>
          <w:numId w:val="1107"/>
          <w:ilvl w:val="1"/>
        </w:numPr>
      </w:pPr>
      <w:r>
        <w:t xml:space="preserve">Номер</w:t>
      </w:r>
    </w:p>
    <w:p>
      <w:pPr>
        <w:pStyle w:val="BlockText"/>
        <w:numPr>
          <w:numId w:val="1107"/>
          <w:ilvl w:val="1"/>
        </w:numPr>
      </w:pPr>
      <w:r>
        <w:t xml:space="preserve">Дата</w:t>
      </w:r>
    </w:p>
    <w:p>
      <w:pPr>
        <w:pStyle w:val="BlockText"/>
        <w:numPr>
          <w:numId w:val="1107"/>
          <w:ilvl w:val="1"/>
        </w:numPr>
      </w:pPr>
      <w:r>
        <w:t xml:space="preserve">Статус</w:t>
      </w:r>
    </w:p>
    <w:p>
      <w:pPr>
        <w:pStyle w:val="BlockText"/>
        <w:numPr>
          <w:numId w:val="1107"/>
          <w:ilvl w:val="1"/>
        </w:numPr>
      </w:pPr>
      <w:r>
        <w:t xml:space="preserve">Услуга</w:t>
      </w:r>
    </w:p>
    <w:p>
      <w:pPr>
        <w:pStyle w:val="BlockText"/>
        <w:numPr>
          <w:numId w:val="1107"/>
          <w:ilvl w:val="1"/>
        </w:numPr>
      </w:pPr>
      <w:r>
        <w:t xml:space="preserve">Тема</w:t>
      </w:r>
    </w:p>
    <w:p>
      <w:pPr>
        <w:pStyle w:val="BlockText"/>
        <w:numPr>
          <w:numId w:val="1107"/>
          <w:ilvl w:val="1"/>
        </w:numPr>
      </w:pPr>
      <w:r>
        <w:t xml:space="preserve">Время решения</w:t>
      </w:r>
    </w:p>
    <w:bookmarkEnd w:id="135"/>
    <w:bookmarkStart w:id="136" w:name="Portal.xhtml#id13"/>
    <w:p>
      <w:pPr>
        <w:pStyle w:val="Heading3"/>
      </w:pPr>
      <w:r>
        <w:t xml:space="preserve">7.2.4. Поиск по обращениям</w:t>
      </w:r>
    </w:p>
    <w:p>
      <w:pPr>
        <w:pStyle w:val="FirstParagraph"/>
      </w:pPr>
      <w:r>
        <w:t xml:space="preserve">Поиск по обращениям работает по всем полям отображаемым на форме обращения.</w:t>
      </w:r>
    </w:p>
    <w:p>
      <w:pPr>
        <w:pStyle w:val="BodyText"/>
      </w:pPr>
      <w:r>
        <w:t xml:space="preserve">Для того, чтобы воспользоваться поиском по обращениям на странице «Мои обращения», необходимо:</w:t>
      </w:r>
      <w:r>
        <w:t xml:space="preserve"> </w:t>
      </w:r>
      <w:r>
        <w:t xml:space="preserve">Ввести поисковой запрос в поле поиска и нажать enter.</w:t>
      </w:r>
    </w:p>
    <w:bookmarkEnd w:id="136"/>
    <w:bookmarkStart w:id="137" w:name="Portal.xhtml#id14"/>
    <w:p>
      <w:pPr>
        <w:pStyle w:val="Heading3"/>
      </w:pPr>
      <w:r>
        <w:t xml:space="preserve">7.2.5. Предоставление дополнительной информации</w:t>
      </w:r>
    </w:p>
    <w:p>
      <w:pPr>
        <w:numPr>
          <w:numId w:val="1108"/>
          <w:ilvl w:val="0"/>
        </w:numPr>
      </w:pPr>
      <w:r>
        <w:t xml:space="preserve">Пользователь открывает страницу «Мои обращения, выбирает вкладку «Ожидают дополнительной информации»</w:t>
      </w:r>
    </w:p>
    <w:p>
      <w:pPr>
        <w:numPr>
          <w:numId w:val="1108"/>
          <w:ilvl w:val="0"/>
        </w:numPr>
      </w:pPr>
      <w:r>
        <w:t xml:space="preserve">Отображается таблица обращений (если в этом статусе нет ни одного обращения данного автора - таблица пуста)</w:t>
      </w:r>
    </w:p>
    <w:p>
      <w:pPr>
        <w:numPr>
          <w:numId w:val="1108"/>
          <w:ilvl w:val="0"/>
        </w:numPr>
      </w:pPr>
      <w:r>
        <w:t xml:space="preserve">Пользователь двойным кликом открывает обращение</w:t>
      </w:r>
    </w:p>
    <w:p>
      <w:pPr>
        <w:numPr>
          <w:numId w:val="1108"/>
          <w:ilvl w:val="0"/>
        </w:numPr>
      </w:pPr>
      <w:r>
        <w:t xml:space="preserve">Открывается окно обращения с полями:</w:t>
      </w:r>
    </w:p>
    <w:p>
      <w:pPr>
        <w:pStyle w:val="BlockText"/>
        <w:numPr>
          <w:numId w:val="1109"/>
          <w:ilvl w:val="1"/>
        </w:numPr>
      </w:pPr>
      <w:r>
        <w:t xml:space="preserve">Номер</w:t>
      </w:r>
    </w:p>
    <w:p>
      <w:pPr>
        <w:pStyle w:val="BlockText"/>
        <w:numPr>
          <w:numId w:val="1109"/>
          <w:ilvl w:val="1"/>
        </w:numPr>
      </w:pPr>
      <w:r>
        <w:t xml:space="preserve">Дата</w:t>
      </w:r>
    </w:p>
    <w:p>
      <w:pPr>
        <w:pStyle w:val="BlockText"/>
        <w:numPr>
          <w:numId w:val="1109"/>
          <w:ilvl w:val="1"/>
        </w:numPr>
      </w:pPr>
      <w:r>
        <w:t xml:space="preserve">Статус</w:t>
      </w:r>
    </w:p>
    <w:p>
      <w:pPr>
        <w:pStyle w:val="BlockText"/>
        <w:numPr>
          <w:numId w:val="1109"/>
          <w:ilvl w:val="1"/>
        </w:numPr>
      </w:pPr>
      <w:r>
        <w:t xml:space="preserve">Услуга</w:t>
      </w:r>
    </w:p>
    <w:p>
      <w:pPr>
        <w:pStyle w:val="BlockText"/>
        <w:numPr>
          <w:numId w:val="1109"/>
          <w:ilvl w:val="1"/>
        </w:numPr>
      </w:pPr>
      <w:r>
        <w:t xml:space="preserve">Тема</w:t>
      </w:r>
    </w:p>
    <w:p>
      <w:pPr>
        <w:pStyle w:val="BlockText"/>
        <w:numPr>
          <w:numId w:val="1109"/>
          <w:ilvl w:val="1"/>
        </w:numPr>
      </w:pPr>
      <w:r>
        <w:t xml:space="preserve">Время решения</w:t>
      </w:r>
    </w:p>
    <w:p>
      <w:pPr>
        <w:pStyle w:val="BlockText"/>
        <w:numPr>
          <w:numId w:val="1109"/>
          <w:ilvl w:val="1"/>
        </w:numPr>
      </w:pPr>
      <w:r>
        <w:t xml:space="preserve">Запрос на доработку</w:t>
      </w:r>
    </w:p>
    <w:p>
      <w:pPr>
        <w:pStyle w:val="BlockText"/>
        <w:numPr>
          <w:numId w:val="1109"/>
          <w:ilvl w:val="1"/>
        </w:numPr>
      </w:pPr>
      <w:r>
        <w:t xml:space="preserve">Ответ (поле для ввода текста)</w:t>
      </w:r>
    </w:p>
    <w:p>
      <w:pPr>
        <w:pStyle w:val="BlockText"/>
        <w:numPr>
          <w:numId w:val="1109"/>
          <w:ilvl w:val="1"/>
        </w:numPr>
      </w:pPr>
      <w:r>
        <w:t xml:space="preserve">Файлы (Кнопка выбора с компьютера пользователя одного или нескольких файлов)</w:t>
      </w:r>
    </w:p>
    <w:p>
      <w:pPr>
        <w:pStyle w:val="BlockText"/>
        <w:numPr>
          <w:numId w:val="1109"/>
          <w:ilvl w:val="1"/>
        </w:numPr>
      </w:pPr>
      <w:r>
        <w:t xml:space="preserve">Кнопка «Отправить»</w:t>
      </w:r>
    </w:p>
    <w:p>
      <w:pPr>
        <w:numPr>
          <w:numId w:val="1108"/>
          <w:ilvl w:val="0"/>
        </w:numPr>
      </w:pPr>
      <w:r>
        <w:t xml:space="preserve">Пользователь вводит в поле «Ответ» текст</w:t>
      </w:r>
    </w:p>
    <w:p>
      <w:pPr>
        <w:numPr>
          <w:numId w:val="1108"/>
          <w:ilvl w:val="0"/>
        </w:numPr>
      </w:pPr>
      <w:r>
        <w:t xml:space="preserve">Пользователь добавляет один или несколько файлов</w:t>
      </w:r>
    </w:p>
    <w:p>
      <w:pPr>
        <w:numPr>
          <w:numId w:val="1108"/>
          <w:ilvl w:val="0"/>
        </w:numPr>
      </w:pPr>
      <w:r>
        <w:t xml:space="preserve">Нажимает кнопку «Отправить».</w:t>
      </w:r>
    </w:p>
    <w:p>
      <w:pPr>
        <w:numPr>
          <w:numId w:val="1108"/>
          <w:ilvl w:val="0"/>
        </w:numPr>
      </w:pPr>
      <w:r>
        <w:t xml:space="preserve">Статус инцидента меняется на «Инфомарция предоставлена», происходит обновление информации (текста и файлов)</w:t>
      </w:r>
    </w:p>
    <w:p>
      <w:pPr>
        <w:numPr>
          <w:numId w:val="1108"/>
          <w:ilvl w:val="0"/>
        </w:numPr>
      </w:pPr>
      <w:r>
        <w:t xml:space="preserve">Обращение пропадает из раздела «Ожидает предоставления информации», отображается в разделе «В работе».</w:t>
      </w:r>
    </w:p>
    <w:bookmarkEnd w:id="137"/>
    <w:bookmarkStart w:id="138" w:name="Portal.xhtml#id15"/>
    <w:p>
      <w:pPr>
        <w:pStyle w:val="Heading3"/>
      </w:pPr>
      <w:r>
        <w:t xml:space="preserve">7.2.6. Подтверждение завершения</w:t>
      </w:r>
    </w:p>
    <w:p>
      <w:pPr>
        <w:numPr>
          <w:numId w:val="1110"/>
          <w:ilvl w:val="0"/>
        </w:numPr>
      </w:pPr>
      <w:r>
        <w:t xml:space="preserve">Пользователь открывает страницу «Мои обращения, выбирает вкладку «Ожидают подтверждения завершения»</w:t>
      </w:r>
    </w:p>
    <w:p>
      <w:pPr>
        <w:numPr>
          <w:numId w:val="1110"/>
          <w:ilvl w:val="0"/>
        </w:numPr>
      </w:pPr>
      <w:r>
        <w:t xml:space="preserve">Отображается таблица обращений (если в этом статусе нет ни одного обращения данного автора - таблица пуста)</w:t>
      </w:r>
    </w:p>
    <w:p>
      <w:pPr>
        <w:numPr>
          <w:numId w:val="1110"/>
          <w:ilvl w:val="0"/>
        </w:numPr>
      </w:pPr>
      <w:r>
        <w:t xml:space="preserve">Пользователь двойным кликом открывает обращение</w:t>
      </w:r>
    </w:p>
    <w:p>
      <w:pPr>
        <w:numPr>
          <w:numId w:val="1110"/>
          <w:ilvl w:val="0"/>
        </w:numPr>
      </w:pPr>
      <w:r>
        <w:t xml:space="preserve">Открывается окно обращения с полями:</w:t>
      </w:r>
    </w:p>
    <w:p>
      <w:pPr>
        <w:pStyle w:val="BlockText"/>
        <w:numPr>
          <w:numId w:val="1111"/>
          <w:ilvl w:val="1"/>
        </w:numPr>
      </w:pPr>
      <w:r>
        <w:t xml:space="preserve">Номер</w:t>
      </w:r>
    </w:p>
    <w:p>
      <w:pPr>
        <w:pStyle w:val="BlockText"/>
        <w:numPr>
          <w:numId w:val="1111"/>
          <w:ilvl w:val="1"/>
        </w:numPr>
      </w:pPr>
      <w:r>
        <w:t xml:space="preserve">Дата</w:t>
      </w:r>
    </w:p>
    <w:p>
      <w:pPr>
        <w:pStyle w:val="BlockText"/>
        <w:numPr>
          <w:numId w:val="1111"/>
          <w:ilvl w:val="1"/>
        </w:numPr>
      </w:pPr>
      <w:r>
        <w:t xml:space="preserve">Статус</w:t>
      </w:r>
    </w:p>
    <w:p>
      <w:pPr>
        <w:pStyle w:val="BlockText"/>
        <w:numPr>
          <w:numId w:val="1111"/>
          <w:ilvl w:val="1"/>
        </w:numPr>
      </w:pPr>
      <w:r>
        <w:t xml:space="preserve">Услуга</w:t>
      </w:r>
    </w:p>
    <w:p>
      <w:pPr>
        <w:pStyle w:val="BlockText"/>
        <w:numPr>
          <w:numId w:val="1111"/>
          <w:ilvl w:val="1"/>
        </w:numPr>
      </w:pPr>
      <w:r>
        <w:t xml:space="preserve">Тема</w:t>
      </w:r>
    </w:p>
    <w:p>
      <w:pPr>
        <w:pStyle w:val="BlockText"/>
        <w:numPr>
          <w:numId w:val="1111"/>
          <w:ilvl w:val="1"/>
        </w:numPr>
      </w:pPr>
      <w:r>
        <w:t xml:space="preserve">Время решения</w:t>
      </w:r>
    </w:p>
    <w:p>
      <w:pPr>
        <w:pStyle w:val="BlockText"/>
        <w:numPr>
          <w:numId w:val="1111"/>
          <w:ilvl w:val="1"/>
        </w:numPr>
      </w:pPr>
      <w:r>
        <w:t xml:space="preserve">Код решения</w:t>
      </w:r>
    </w:p>
    <w:p>
      <w:pPr>
        <w:pStyle w:val="BlockText"/>
        <w:numPr>
          <w:numId w:val="1111"/>
          <w:ilvl w:val="1"/>
        </w:numPr>
      </w:pPr>
      <w:r>
        <w:t xml:space="preserve">Описание решения</w:t>
      </w:r>
    </w:p>
    <w:p>
      <w:pPr>
        <w:pStyle w:val="BlockText"/>
        <w:numPr>
          <w:numId w:val="1111"/>
          <w:ilvl w:val="1"/>
        </w:numPr>
      </w:pPr>
      <w:r>
        <w:t xml:space="preserve">Кнопка: Подтвердить завершения</w:t>
      </w:r>
    </w:p>
    <w:p>
      <w:pPr>
        <w:pStyle w:val="BlockText"/>
        <w:numPr>
          <w:numId w:val="1111"/>
          <w:ilvl w:val="1"/>
        </w:numPr>
      </w:pPr>
      <w:r>
        <w:t xml:space="preserve">Кнопка: Направить повторно</w:t>
      </w:r>
    </w:p>
    <w:p>
      <w:pPr>
        <w:pStyle w:val="FirstParagraph"/>
      </w:pPr>
      <w:r>
        <w:t xml:space="preserve">5. В случае если, пользователь нажимает кнопку «Направить повторно» - статус обращения меняется на направлен повторно.</w:t>
      </w:r>
      <w:r>
        <w:t xml:space="preserve"> </w:t>
      </w:r>
      <w:r>
        <w:t xml:space="preserve">Обращение пропадается из раздела, отображается в разделе «В работе».</w:t>
      </w:r>
      <w:r>
        <w:t xml:space="preserve"> </w:t>
      </w:r>
      <w:r>
        <w:t xml:space="preserve">6. В случае если, пользователь нажимает кнопку «Подтвердить завершение» - статус обращения меняется на Закрыт.</w:t>
      </w:r>
      <w:r>
        <w:t xml:space="preserve"> </w:t>
      </w:r>
      <w:r>
        <w:t xml:space="preserve">Обращение пропадается из раздела, отображается в разделе «Завершенные».</w:t>
      </w:r>
    </w:p>
    <w:bookmarkEnd w:id="138"/>
    <w:bookmarkStart w:id="139" w:name="Portal.xhtml#id16"/>
    <w:p>
      <w:pPr>
        <w:pStyle w:val="Heading3"/>
      </w:pPr>
      <w:r>
        <w:t xml:space="preserve">7.2.7. Просмотр закрытого обращения</w:t>
      </w:r>
    </w:p>
    <w:p>
      <w:pPr>
        <w:numPr>
          <w:numId w:val="1112"/>
          <w:ilvl w:val="0"/>
        </w:numPr>
      </w:pPr>
      <w:r>
        <w:t xml:space="preserve">Пользователь открывает страницу «Мои обращения», выбирает вкладку «Закрытые»</w:t>
      </w:r>
    </w:p>
    <w:p>
      <w:pPr>
        <w:numPr>
          <w:numId w:val="1112"/>
          <w:ilvl w:val="0"/>
        </w:numPr>
      </w:pPr>
      <w:r>
        <w:t xml:space="preserve">Отображается таблица обращений (если в этом статусе нет ни одного обращения данного автора - таблица пуста)</w:t>
      </w:r>
    </w:p>
    <w:p>
      <w:pPr>
        <w:numPr>
          <w:numId w:val="1112"/>
          <w:ilvl w:val="0"/>
        </w:numPr>
      </w:pPr>
      <w:r>
        <w:t xml:space="preserve">Пользователь двойным кликом открывает обращение</w:t>
      </w:r>
    </w:p>
    <w:p>
      <w:pPr>
        <w:numPr>
          <w:numId w:val="1112"/>
          <w:ilvl w:val="0"/>
        </w:numPr>
      </w:pPr>
      <w:r>
        <w:t xml:space="preserve">Открывается окно обращения с полями:</w:t>
      </w:r>
    </w:p>
    <w:p>
      <w:pPr>
        <w:pStyle w:val="BlockText"/>
        <w:numPr>
          <w:numId w:val="1113"/>
          <w:ilvl w:val="1"/>
        </w:numPr>
      </w:pPr>
      <w:r>
        <w:t xml:space="preserve">Номер</w:t>
      </w:r>
    </w:p>
    <w:p>
      <w:pPr>
        <w:pStyle w:val="BlockText"/>
        <w:numPr>
          <w:numId w:val="1113"/>
          <w:ilvl w:val="1"/>
        </w:numPr>
      </w:pPr>
      <w:r>
        <w:t xml:space="preserve">Дата</w:t>
      </w:r>
    </w:p>
    <w:p>
      <w:pPr>
        <w:pStyle w:val="BlockText"/>
        <w:numPr>
          <w:numId w:val="1113"/>
          <w:ilvl w:val="1"/>
        </w:numPr>
      </w:pPr>
      <w:r>
        <w:t xml:space="preserve">Статус</w:t>
      </w:r>
    </w:p>
    <w:p>
      <w:pPr>
        <w:pStyle w:val="BlockText"/>
        <w:numPr>
          <w:numId w:val="1113"/>
          <w:ilvl w:val="1"/>
        </w:numPr>
      </w:pPr>
      <w:r>
        <w:t xml:space="preserve">Услуга</w:t>
      </w:r>
    </w:p>
    <w:p>
      <w:pPr>
        <w:pStyle w:val="BlockText"/>
        <w:numPr>
          <w:numId w:val="1113"/>
          <w:ilvl w:val="1"/>
        </w:numPr>
      </w:pPr>
      <w:r>
        <w:t xml:space="preserve">Тема</w:t>
      </w:r>
    </w:p>
    <w:p>
      <w:pPr>
        <w:pStyle w:val="BlockText"/>
        <w:numPr>
          <w:numId w:val="1113"/>
          <w:ilvl w:val="1"/>
        </w:numPr>
      </w:pPr>
      <w:r>
        <w:t xml:space="preserve">Время решения</w:t>
      </w:r>
    </w:p>
    <w:p>
      <w:pPr>
        <w:pStyle w:val="BlockText"/>
        <w:numPr>
          <w:numId w:val="1113"/>
          <w:ilvl w:val="1"/>
        </w:numPr>
      </w:pPr>
      <w:r>
        <w:t xml:space="preserve">Код решения</w:t>
      </w:r>
    </w:p>
    <w:bookmarkEnd w:id="139"/>
    <w:bookmarkEnd w:id="140"/>
    <w:bookmarkEnd w:id="141"/>
    <w:p>
      <w:pPr>
        <w:pStyle w:val="FirstParagraph"/>
      </w:pPr>
      <w:bookmarkStart w:id="142" w:name="Reports.xhtml"/>
      <w:bookmarkEnd w:id="142"/>
    </w:p>
    <w:bookmarkStart w:id="151" w:name="Reports.xhtml#id1"/>
    <w:p>
      <w:pPr>
        <w:pStyle w:val="Heading1"/>
      </w:pPr>
      <w:r>
        <w:t xml:space="preserve">8. Отчетность</w:t>
      </w:r>
    </w:p>
    <w:bookmarkStart w:id="149" w:name="Reports.xhtml#xls"/>
    <w:p>
      <w:pPr>
        <w:pStyle w:val="Heading2"/>
      </w:pPr>
      <w:r>
        <w:t xml:space="preserve">8.1. Выгрузка в xls</w:t>
      </w:r>
    </w:p>
    <w:p>
      <w:pPr>
        <w:pStyle w:val="FirstParagraph"/>
      </w:pPr>
      <w:r>
        <w:t xml:space="preserve">Система поддерживает встроенную выгрузку в xls столбцов отображаемых в реестре, а также в фильтре данного реестра.</w:t>
      </w:r>
    </w:p>
    <w:p>
      <w:pPr>
        <w:pStyle w:val="BodyText"/>
      </w:pPr>
      <w:r>
        <w:t xml:space="preserve">Для того, чтобы выгрузить выбранное множество обращений, необходимо</w:t>
      </w:r>
    </w:p>
    <w:p>
      <w:pPr>
        <w:numPr>
          <w:numId w:val="1114"/>
          <w:ilvl w:val="0"/>
        </w:numPr>
      </w:pPr>
      <w:r>
        <w:t xml:space="preserve">Настроить фильтр в реестре</w:t>
      </w:r>
    </w:p>
    <w:bookmarkStart w:id="144" w:name="Reports.xhtml#id3"/>
    <w:p>
      <w:pPr>
        <w:pStyle w:val="Compact"/>
      </w:pPr>
      <w:r>
        <w:drawing>
          <wp:inline>
            <wp:extent cx="5334000" cy="2709888"/>
            <wp:effectExtent b="0" l="0" r="0" t="0"/>
            <wp:docPr descr="_images/report_forweek_0.png" title="" id="1" name="Picture"/>
            <a:graphic>
              <a:graphicData uri="http://schemas.openxmlformats.org/drawingml/2006/picture">
                <pic:pic>
                  <pic:nvPicPr>
                    <pic:cNvPr descr="_images/report_forweek_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09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144"/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Фильтры настраиваются по любому полю на форме Обращения.</w:t>
      </w:r>
    </w:p>
    <w:p>
      <w:pPr>
        <w:numPr>
          <w:numId w:val="1115"/>
          <w:ilvl w:val="0"/>
        </w:numPr>
      </w:pPr>
      <w:r>
        <w:t xml:space="preserve">Выделить в навигаторе созданный фильтр и нажать кнопку выгрузки отчета.</w:t>
      </w:r>
    </w:p>
    <w:bookmarkStart w:id="146" w:name="Reports.xhtml#id4"/>
    <w:p>
      <w:pPr>
        <w:pStyle w:val="Compact"/>
      </w:pPr>
      <w:r>
        <w:drawing>
          <wp:inline>
            <wp:extent cx="5334000" cy="2722595"/>
            <wp:effectExtent b="0" l="0" r="0" t="0"/>
            <wp:docPr descr="_images/report_forweek_1.png" title="" id="1" name="Picture"/>
            <a:graphic>
              <a:graphicData uri="http://schemas.openxmlformats.org/drawingml/2006/picture">
                <pic:pic>
                  <pic:nvPicPr>
                    <pic:cNvPr descr="_images/report_forweek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22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146"/>
    <w:p>
      <w:pPr>
        <w:numPr>
          <w:numId w:val="1116"/>
          <w:ilvl w:val="0"/>
        </w:numPr>
      </w:pPr>
      <w:r>
        <w:t xml:space="preserve">Результат будет загружен на компьютер пользователя в формате xls</w:t>
      </w:r>
    </w:p>
    <w:bookmarkStart w:id="148" w:name="Reports.xhtml#id5"/>
    <w:p>
      <w:pPr>
        <w:pStyle w:val="Compact"/>
      </w:pPr>
      <w:r>
        <w:drawing>
          <wp:inline>
            <wp:extent cx="5334000" cy="2093571"/>
            <wp:effectExtent b="0" l="0" r="0" t="0"/>
            <wp:docPr descr="_images/report_forweek_2.png" title="" id="1" name="Picture"/>
            <a:graphic>
              <a:graphicData uri="http://schemas.openxmlformats.org/drawingml/2006/picture">
                <pic:pic>
                  <pic:nvPicPr>
                    <pic:cNvPr descr="_images/report_forweek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935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148"/>
    <w:bookmarkEnd w:id="149"/>
    <w:bookmarkStart w:id="150" w:name="Reports.xhtml#id2"/>
    <w:p>
      <w:pPr>
        <w:pStyle w:val="Heading2"/>
      </w:pPr>
      <w:r>
        <w:t xml:space="preserve">8.2. Дашборды</w:t>
      </w:r>
    </w:p>
    <w:bookmarkEnd w:id="150"/>
    <w:bookmarkEnd w:id="151"/>
    <w:p>
      <w:pPr>
        <w:pStyle w:val="FirstParagraph"/>
      </w:pPr>
      <w:bookmarkStart w:id="152" w:name="Tasks.xhtml"/>
      <w:bookmarkEnd w:id="152"/>
    </w:p>
    <w:bookmarkStart w:id="153" w:name="Tasks.xhtml#id1"/>
    <w:p>
      <w:pPr>
        <w:pStyle w:val="Heading1"/>
      </w:pPr>
      <w:r>
        <w:t xml:space="preserve">9. Задания</w:t>
      </w:r>
    </w:p>
    <w:p>
      <w:pPr>
        <w:pStyle w:val="Compact"/>
        <w:numPr>
          <w:numId w:val="1117"/>
          <w:ilvl w:val="0"/>
        </w:numPr>
      </w:pPr>
      <w:hyperlink w:anchor="Task_1.xhtml">
        <w:r>
          <w:rPr>
            <w:rStyle w:val="Hyperlink"/>
          </w:rPr>
          <w:t xml:space="preserve">9.1. Задание 1</w:t>
        </w:r>
      </w:hyperlink>
    </w:p>
    <w:p>
      <w:pPr>
        <w:pStyle w:val="Compact"/>
        <w:numPr>
          <w:numId w:val="1117"/>
          <w:ilvl w:val="0"/>
        </w:numPr>
      </w:pPr>
      <w:hyperlink w:anchor="Task_2.xhtml">
        <w:r>
          <w:rPr>
            <w:rStyle w:val="Hyperlink"/>
          </w:rPr>
          <w:t xml:space="preserve">9.2. Задание 2</w:t>
        </w:r>
      </w:hyperlink>
    </w:p>
    <w:p>
      <w:pPr>
        <w:pStyle w:val="Compact"/>
        <w:numPr>
          <w:numId w:val="1117"/>
          <w:ilvl w:val="0"/>
        </w:numPr>
      </w:pPr>
      <w:hyperlink w:anchor="Task_3.xhtml">
        <w:r>
          <w:rPr>
            <w:rStyle w:val="Hyperlink"/>
          </w:rPr>
          <w:t xml:space="preserve">9.3. Задание 3</w:t>
        </w:r>
      </w:hyperlink>
    </w:p>
    <w:p>
      <w:pPr>
        <w:pStyle w:val="Compact"/>
        <w:numPr>
          <w:numId w:val="1118"/>
          <w:ilvl w:val="1"/>
        </w:numPr>
      </w:pPr>
      <w:hyperlink w:anchor="Task_3.xhtml#id2">
        <w:r>
          <w:rPr>
            <w:rStyle w:val="Hyperlink"/>
          </w:rPr>
          <w:t xml:space="preserve">9.3.1. В подсистеме администрирования</w:t>
        </w:r>
      </w:hyperlink>
    </w:p>
    <w:p>
      <w:pPr>
        <w:pStyle w:val="Compact"/>
        <w:numPr>
          <w:numId w:val="1118"/>
          <w:ilvl w:val="1"/>
        </w:numPr>
      </w:pPr>
      <w:hyperlink w:anchor="Task_3.xhtml#id3">
        <w:r>
          <w:rPr>
            <w:rStyle w:val="Hyperlink"/>
          </w:rPr>
          <w:t xml:space="preserve">9.3.2. В Конфигураторе</w:t>
        </w:r>
      </w:hyperlink>
    </w:p>
    <w:p>
      <w:pPr>
        <w:pStyle w:val="Compact"/>
        <w:numPr>
          <w:numId w:val="1117"/>
          <w:ilvl w:val="0"/>
        </w:numPr>
      </w:pPr>
      <w:hyperlink w:anchor="Task_4.xhtml">
        <w:r>
          <w:rPr>
            <w:rStyle w:val="Hyperlink"/>
          </w:rPr>
          <w:t xml:space="preserve">9.4. Задание 4</w:t>
        </w:r>
      </w:hyperlink>
    </w:p>
    <w:p>
      <w:pPr>
        <w:pStyle w:val="Compact"/>
        <w:numPr>
          <w:numId w:val="1119"/>
          <w:ilvl w:val="1"/>
        </w:numPr>
      </w:pPr>
      <w:hyperlink w:anchor="Task_4.xhtml#id2">
        <w:r>
          <w:rPr>
            <w:rStyle w:val="Hyperlink"/>
          </w:rPr>
          <w:t xml:space="preserve">9.4.1. В подсистеме администрирования</w:t>
        </w:r>
      </w:hyperlink>
    </w:p>
    <w:p>
      <w:pPr>
        <w:pStyle w:val="Compact"/>
        <w:numPr>
          <w:numId w:val="1119"/>
          <w:ilvl w:val="1"/>
        </w:numPr>
      </w:pPr>
      <w:hyperlink w:anchor="Task_4.xhtml#id3">
        <w:r>
          <w:rPr>
            <w:rStyle w:val="Hyperlink"/>
          </w:rPr>
          <w:t xml:space="preserve">9.4.2. В клиентской части</w:t>
        </w:r>
      </w:hyperlink>
    </w:p>
    <w:p>
      <w:pPr>
        <w:pStyle w:val="Compact"/>
        <w:numPr>
          <w:numId w:val="1119"/>
          <w:ilvl w:val="1"/>
        </w:numPr>
      </w:pPr>
      <w:hyperlink w:anchor="Task_4.xhtml#id4">
        <w:r>
          <w:rPr>
            <w:rStyle w:val="Hyperlink"/>
          </w:rPr>
          <w:t xml:space="preserve">9.4.3. В Конфигураторе</w:t>
        </w:r>
      </w:hyperlink>
    </w:p>
    <w:p>
      <w:pPr>
        <w:pStyle w:val="Compact"/>
        <w:numPr>
          <w:numId w:val="1117"/>
          <w:ilvl w:val="0"/>
        </w:numPr>
      </w:pPr>
      <w:hyperlink w:anchor="Task_5.xhtml">
        <w:r>
          <w:rPr>
            <w:rStyle w:val="Hyperlink"/>
          </w:rPr>
          <w:t xml:space="preserve">9.5. Задание 5</w:t>
        </w:r>
      </w:hyperlink>
    </w:p>
    <w:p>
      <w:pPr>
        <w:pStyle w:val="Compact"/>
        <w:numPr>
          <w:numId w:val="1117"/>
          <w:ilvl w:val="0"/>
        </w:numPr>
      </w:pPr>
      <w:hyperlink w:anchor="Task_7.xhtml">
        <w:r>
          <w:rPr>
            <w:rStyle w:val="Hyperlink"/>
          </w:rPr>
          <w:t xml:space="preserve">9.6. Задание 7</w:t>
        </w:r>
      </w:hyperlink>
    </w:p>
    <w:p>
      <w:pPr>
        <w:pStyle w:val="Compact"/>
        <w:numPr>
          <w:numId w:val="1120"/>
          <w:ilvl w:val="1"/>
        </w:numPr>
      </w:pPr>
      <w:hyperlink w:anchor="Task_7.xhtml#email">
        <w:r>
          <w:rPr>
            <w:rStyle w:val="Hyperlink"/>
          </w:rPr>
          <w:t xml:space="preserve">9.6.1. Обращение через email незарегистрированного пользователя</w:t>
        </w:r>
      </w:hyperlink>
    </w:p>
    <w:p>
      <w:pPr>
        <w:pStyle w:val="Compact"/>
        <w:numPr>
          <w:numId w:val="1120"/>
          <w:ilvl w:val="1"/>
        </w:numPr>
      </w:pPr>
      <w:hyperlink w:anchor="Task_7.xhtml#id2">
        <w:r>
          <w:rPr>
            <w:rStyle w:val="Hyperlink"/>
          </w:rPr>
          <w:t xml:space="preserve">9.6.2. Обращение через email зарегистрированного пользователя</w:t>
        </w:r>
      </w:hyperlink>
    </w:p>
    <w:p>
      <w:pPr>
        <w:pStyle w:val="Compact"/>
        <w:numPr>
          <w:numId w:val="1120"/>
          <w:ilvl w:val="1"/>
        </w:numPr>
      </w:pPr>
      <w:hyperlink w:anchor="Task_7.xhtml#id3">
        <w:r>
          <w:rPr>
            <w:rStyle w:val="Hyperlink"/>
          </w:rPr>
          <w:t xml:space="preserve">9.6.3. Обращение через портал</w:t>
        </w:r>
      </w:hyperlink>
    </w:p>
    <w:p>
      <w:pPr>
        <w:pStyle w:val="Compact"/>
        <w:numPr>
          <w:numId w:val="1117"/>
          <w:ilvl w:val="0"/>
        </w:numPr>
      </w:pPr>
      <w:hyperlink w:anchor="Task_8.xhtml">
        <w:r>
          <w:rPr>
            <w:rStyle w:val="Hyperlink"/>
          </w:rPr>
          <w:t xml:space="preserve">9.7. Задание 8</w:t>
        </w:r>
      </w:hyperlink>
    </w:p>
    <w:p>
      <w:pPr>
        <w:pStyle w:val="Compact"/>
        <w:numPr>
          <w:numId w:val="1121"/>
          <w:ilvl w:val="1"/>
        </w:numPr>
      </w:pPr>
      <w:hyperlink w:anchor="Task_8.xhtml#id2">
        <w:r>
          <w:rPr>
            <w:rStyle w:val="Hyperlink"/>
          </w:rPr>
          <w:t xml:space="preserve">9.7.1. Жизненный цикл «Проблемы»</w:t>
        </w:r>
      </w:hyperlink>
    </w:p>
    <w:bookmarkEnd w:id="153"/>
    <w:p>
      <w:pPr>
        <w:pStyle w:val="FirstParagraph"/>
      </w:pPr>
      <w:bookmarkStart w:id="154" w:name="Task_1.xhtml"/>
      <w:bookmarkEnd w:id="154"/>
    </w:p>
    <w:bookmarkStart w:id="155" w:name="Task_1.xhtml#id1"/>
    <w:p>
      <w:pPr>
        <w:pStyle w:val="Heading1"/>
      </w:pPr>
      <w:r>
        <w:t xml:space="preserve">9.1. Задание 1</w:t>
      </w:r>
    </w:p>
    <w:p>
      <w:pPr>
        <w:pStyle w:val="FirstParagraph"/>
      </w:pPr>
      <w:r>
        <w:t xml:space="preserve">Выбирите, какие из указанных ресурсов подходят для развертывание ITSM:</w:t>
      </w:r>
    </w:p>
    <w:p>
      <w:pPr>
        <w:pStyle w:val="BodyText"/>
      </w:pPr>
      <w:r>
        <w:rPr>
          <w:b/>
        </w:rPr>
        <w:t xml:space="preserve">1 вариант</w:t>
      </w:r>
    </w:p>
    <w:p>
      <w:pPr>
        <w:numPr>
          <w:numId w:val="1122"/>
          <w:ilvl w:val="0"/>
        </w:numPr>
      </w:pPr>
      <w:r>
        <w:t xml:space="preserve">Хранилище Jackrabbit</w:t>
      </w:r>
    </w:p>
    <w:p>
      <w:pPr>
        <w:numPr>
          <w:numId w:val="1122"/>
          <w:ilvl w:val="0"/>
        </w:numPr>
      </w:pPr>
      <w:r>
        <w:t xml:space="preserve">Поисковые индексы Lucene</w:t>
      </w:r>
    </w:p>
    <w:p>
      <w:pPr>
        <w:numPr>
          <w:numId w:val="1122"/>
          <w:ilvl w:val="0"/>
        </w:numPr>
      </w:pPr>
      <w:r>
        <w:t xml:space="preserve">32 Гб ОЗУ</w:t>
      </w:r>
    </w:p>
    <w:p>
      <w:pPr>
        <w:numPr>
          <w:numId w:val="1122"/>
          <w:ilvl w:val="0"/>
        </w:numPr>
      </w:pPr>
      <w:r>
        <w:t xml:space="preserve">Debian GNU/Linux (jessie, wheezy)</w:t>
      </w:r>
    </w:p>
    <w:p>
      <w:pPr>
        <w:numPr>
          <w:numId w:val="1122"/>
          <w:ilvl w:val="0"/>
        </w:numPr>
      </w:pPr>
      <w:r>
        <w:t xml:space="preserve">CPU 8-core</w:t>
      </w:r>
    </w:p>
    <w:p>
      <w:pPr>
        <w:numPr>
          <w:numId w:val="1122"/>
          <w:ilvl w:val="0"/>
        </w:numPr>
      </w:pPr>
      <w:r>
        <w:t xml:space="preserve">HDD/SSD с 3 Гб свободного дискового пространства</w:t>
      </w:r>
    </w:p>
    <w:p>
      <w:pPr>
        <w:pStyle w:val="FirstParagraph"/>
      </w:pPr>
      <w:r>
        <w:rPr>
          <w:b/>
        </w:rPr>
        <w:t xml:space="preserve">2 вариант</w:t>
      </w:r>
    </w:p>
    <w:p>
      <w:pPr>
        <w:numPr>
          <w:numId w:val="1123"/>
          <w:ilvl w:val="0"/>
        </w:numPr>
      </w:pPr>
      <w:r>
        <w:t xml:space="preserve">Хранилище Jackrabbit</w:t>
      </w:r>
    </w:p>
    <w:p>
      <w:pPr>
        <w:numPr>
          <w:numId w:val="1123"/>
          <w:ilvl w:val="0"/>
        </w:numPr>
      </w:pPr>
      <w:r>
        <w:t xml:space="preserve">Поисковые индексы Lucene</w:t>
      </w:r>
    </w:p>
    <w:p>
      <w:pPr>
        <w:numPr>
          <w:numId w:val="1123"/>
          <w:ilvl w:val="0"/>
        </w:numPr>
      </w:pPr>
      <w:r>
        <w:t xml:space="preserve">16 Гб ОЗУ</w:t>
      </w:r>
    </w:p>
    <w:p>
      <w:pPr>
        <w:numPr>
          <w:numId w:val="1123"/>
          <w:ilvl w:val="0"/>
        </w:numPr>
      </w:pPr>
      <w:r>
        <w:t xml:space="preserve">Debian GNU/Linux (jessie, wheezy)</w:t>
      </w:r>
    </w:p>
    <w:p>
      <w:pPr>
        <w:numPr>
          <w:numId w:val="1123"/>
          <w:ilvl w:val="0"/>
        </w:numPr>
      </w:pPr>
      <w:r>
        <w:t xml:space="preserve">CPU 5-core</w:t>
      </w:r>
    </w:p>
    <w:p>
      <w:pPr>
        <w:numPr>
          <w:numId w:val="1123"/>
          <w:ilvl w:val="0"/>
        </w:numPr>
      </w:pPr>
      <w:r>
        <w:t xml:space="preserve">HDD/SSD с 20 Гб свободного дискового пространства</w:t>
      </w:r>
    </w:p>
    <w:p>
      <w:pPr>
        <w:pStyle w:val="FirstParagraph"/>
      </w:pPr>
      <w:r>
        <w:rPr>
          <w:b/>
        </w:rPr>
        <w:t xml:space="preserve">3 вариант</w:t>
      </w:r>
    </w:p>
    <w:p>
      <w:pPr>
        <w:numPr>
          <w:numId w:val="1124"/>
          <w:ilvl w:val="0"/>
        </w:numPr>
      </w:pPr>
      <w:r>
        <w:t xml:space="preserve">Хранилище Jackrabbit</w:t>
      </w:r>
    </w:p>
    <w:p>
      <w:pPr>
        <w:numPr>
          <w:numId w:val="1124"/>
          <w:ilvl w:val="0"/>
        </w:numPr>
      </w:pPr>
      <w:r>
        <w:t xml:space="preserve">Поисковые индексы Lucene</w:t>
      </w:r>
    </w:p>
    <w:p>
      <w:pPr>
        <w:numPr>
          <w:numId w:val="1124"/>
          <w:ilvl w:val="0"/>
        </w:numPr>
      </w:pPr>
      <w:r>
        <w:t xml:space="preserve">96 Гб ОЗУ</w:t>
      </w:r>
    </w:p>
    <w:p>
      <w:pPr>
        <w:numPr>
          <w:numId w:val="1124"/>
          <w:ilvl w:val="0"/>
        </w:numPr>
      </w:pPr>
      <w:r>
        <w:t xml:space="preserve">Debian GNU/Linux (jessie, wheezy)</w:t>
      </w:r>
    </w:p>
    <w:p>
      <w:pPr>
        <w:numPr>
          <w:numId w:val="1124"/>
          <w:ilvl w:val="0"/>
        </w:numPr>
      </w:pPr>
      <w:r>
        <w:t xml:space="preserve">CPU 8-core</w:t>
      </w:r>
    </w:p>
    <w:p>
      <w:pPr>
        <w:numPr>
          <w:numId w:val="1124"/>
          <w:ilvl w:val="0"/>
        </w:numPr>
      </w:pPr>
      <w:r>
        <w:t xml:space="preserve">HDD/SSD с 20 Гб свободного дискового пространства</w:t>
      </w:r>
    </w:p>
    <w:bookmarkEnd w:id="155"/>
    <w:p>
      <w:pPr>
        <w:pStyle w:val="FirstParagraph"/>
      </w:pPr>
      <w:bookmarkStart w:id="156" w:name="Task_2.xhtml"/>
      <w:bookmarkEnd w:id="156"/>
    </w:p>
    <w:bookmarkStart w:id="159" w:name="Task_2.xhtml#id1"/>
    <w:p>
      <w:pPr>
        <w:pStyle w:val="Heading1"/>
      </w:pPr>
      <w:r>
        <w:t xml:space="preserve">9.2. Задание 2</w:t>
      </w:r>
    </w:p>
    <w:p>
      <w:pPr>
        <w:numPr>
          <w:numId w:val="1125"/>
          <w:ilvl w:val="0"/>
        </w:numPr>
      </w:pPr>
      <w:r>
        <w:t xml:space="preserve">Следуя инструкции по установке, разверните ITSM</w:t>
      </w:r>
    </w:p>
    <w:p>
      <w:pPr>
        <w:numPr>
          <w:numId w:val="1125"/>
          <w:ilvl w:val="0"/>
        </w:numPr>
      </w:pPr>
      <w:r>
        <w:t xml:space="preserve">Настройте работоспособность личного кабинета</w:t>
      </w:r>
    </w:p>
    <w:p>
      <w:pPr>
        <w:numPr>
          <w:numId w:val="1125"/>
          <w:ilvl w:val="0"/>
        </w:numPr>
      </w:pPr>
      <w:r>
        <w:t xml:space="preserve">Для проверки установки авторизируйтесь в системе под стандартным логином и</w:t>
      </w:r>
      <w:r>
        <w:t xml:space="preserve"> </w:t>
      </w:r>
      <w:r>
        <w:t xml:space="preserve">паролем http[s]://server_url:[port]/itsm.</w:t>
      </w:r>
    </w:p>
    <w:p>
      <w:pPr>
        <w:numPr>
          <w:numId w:val="1000"/>
          <w:ilvl w:val="0"/>
        </w:numPr>
      </w:pPr>
      <w:r>
        <w:t xml:space="preserve">Например:</w:t>
      </w:r>
      <w:r>
        <w:t xml:space="preserve"> </w:t>
      </w:r>
      <w:hyperlink r:id="rId157">
        <w:r>
          <w:rPr>
            <w:rStyle w:val="Hyperlink"/>
          </w:rPr>
          <w:t xml:space="preserve">https://itsm.arta.pro/itsm</w:t>
        </w:r>
      </w:hyperlink>
    </w:p>
    <w:p>
      <w:pPr>
        <w:numPr>
          <w:numId w:val="1125"/>
          <w:ilvl w:val="0"/>
        </w:numPr>
      </w:pPr>
      <w:r>
        <w:t xml:space="preserve">Проверьте страничку about</w:t>
      </w:r>
    </w:p>
    <w:p>
      <w:pPr>
        <w:numPr>
          <w:numId w:val="1000"/>
          <w:ilvl w:val="0"/>
        </w:numPr>
      </w:pPr>
      <w:r>
        <w:t xml:space="preserve">Например:</w:t>
      </w:r>
      <w:r>
        <w:t xml:space="preserve"> </w:t>
      </w:r>
      <w:hyperlink r:id="rId158">
        <w:r>
          <w:rPr>
            <w:rStyle w:val="Hyperlink"/>
          </w:rPr>
          <w:t xml:space="preserve">https://itsm.arta.pro/Synergy/about</w:t>
        </w:r>
      </w:hyperlink>
    </w:p>
    <w:bookmarkEnd w:id="159"/>
    <w:p>
      <w:pPr>
        <w:pStyle w:val="FirstParagraph"/>
      </w:pPr>
      <w:bookmarkStart w:id="160" w:name="Task_3.xhtml"/>
      <w:bookmarkEnd w:id="160"/>
    </w:p>
    <w:bookmarkStart w:id="163" w:name="Task_3.xhtml#id1"/>
    <w:p>
      <w:pPr>
        <w:pStyle w:val="Heading1"/>
      </w:pPr>
      <w:r>
        <w:t xml:space="preserve">9.3. Задание 3</w:t>
      </w:r>
    </w:p>
    <w:bookmarkStart w:id="161" w:name="Task_3.xhtml#id2"/>
    <w:p>
      <w:pPr>
        <w:pStyle w:val="Heading2"/>
      </w:pPr>
      <w:r>
        <w:t xml:space="preserve">9.3.1. В подсистеме администрирования</w:t>
      </w:r>
    </w:p>
    <w:p>
      <w:pPr>
        <w:pStyle w:val="FirstParagraph"/>
      </w:pPr>
      <w:r>
        <w:t xml:space="preserve">Перейдите по адресу: http[s]://server_url:[port]/SynergyAdmin с логином «1» и паролем «1».</w:t>
      </w:r>
    </w:p>
    <w:p>
      <w:pPr>
        <w:numPr>
          <w:numId w:val="1126"/>
          <w:ilvl w:val="0"/>
        </w:numPr>
      </w:pPr>
      <w:r>
        <w:t xml:space="preserve">Завидите пользователей в системе - 10 человек</w:t>
      </w:r>
    </w:p>
    <w:p>
      <w:pPr>
        <w:pStyle w:val="FirstParagraph"/>
      </w:pPr>
      <w:r>
        <w:t xml:space="preserve">Внимание</w:t>
      </w:r>
    </w:p>
    <w:p>
      <w:pPr>
        <w:pStyle w:val="BodyText"/>
      </w:pPr>
      <w:r>
        <w:t xml:space="preserve">Не забудьте про системного пользователя, у которого должен быть полный доступ,</w:t>
      </w:r>
      <w:r>
        <w:t xml:space="preserve"> </w:t>
      </w:r>
      <w:r>
        <w:t xml:space="preserve">для доступа в Конфигуратор назначьте его Разработчиком Synergy</w:t>
      </w:r>
    </w:p>
    <w:p>
      <w:pPr>
        <w:numPr>
          <w:numId w:val="1127"/>
          <w:ilvl w:val="0"/>
        </w:numPr>
      </w:pPr>
      <w:r>
        <w:t xml:space="preserve">Создайте орг. структуру, согласно настройкам</w:t>
      </w:r>
    </w:p>
    <w:p>
      <w:pPr>
        <w:numPr>
          <w:numId w:val="1127"/>
          <w:ilvl w:val="0"/>
        </w:numPr>
      </w:pPr>
      <w:r>
        <w:t xml:space="preserve">Назначьте пользователей на должность</w:t>
      </w:r>
    </w:p>
    <w:p>
      <w:pPr>
        <w:numPr>
          <w:numId w:val="1127"/>
          <w:ilvl w:val="0"/>
        </w:numPr>
      </w:pPr>
      <w:r>
        <w:t xml:space="preserve">Создайте группы, добавьте в них пользователей, согласно настройкам</w:t>
      </w:r>
    </w:p>
    <w:bookmarkEnd w:id="161"/>
    <w:bookmarkStart w:id="162" w:name="Task_3.xhtml#id3"/>
    <w:p>
      <w:pPr>
        <w:pStyle w:val="Heading2"/>
      </w:pPr>
      <w:r>
        <w:t xml:space="preserve">9.3.2. В Конфигураторе</w:t>
      </w:r>
    </w:p>
    <w:p>
      <w:pPr>
        <w:pStyle w:val="FirstParagraph"/>
      </w:pPr>
      <w:r>
        <w:t xml:space="preserve">Перейдите по адресу: http[s]://server_url:[port]/Configurator</w:t>
      </w:r>
    </w:p>
    <w:p>
      <w:pPr>
        <w:numPr>
          <w:numId w:val="1128"/>
          <w:ilvl w:val="0"/>
        </w:numPr>
      </w:pPr>
      <w:r>
        <w:t xml:space="preserve">Добавьте формы завершения, согласно руководству</w:t>
      </w:r>
    </w:p>
    <w:p>
      <w:pPr>
        <w:numPr>
          <w:numId w:val="1128"/>
          <w:ilvl w:val="0"/>
        </w:numPr>
      </w:pPr>
      <w:r>
        <w:t xml:space="preserve">Укажите соответствующих пользователей на формах: «Обращение», «Проблема», «Изменение»</w:t>
      </w:r>
    </w:p>
    <w:p>
      <w:pPr>
        <w:numPr>
          <w:numId w:val="1128"/>
          <w:ilvl w:val="0"/>
        </w:numPr>
      </w:pPr>
      <w:r>
        <w:t xml:space="preserve">Сбросьте значение счетчиков</w:t>
      </w:r>
    </w:p>
    <w:p>
      <w:pPr>
        <w:numPr>
          <w:numId w:val="1128"/>
          <w:ilvl w:val="0"/>
        </w:numPr>
      </w:pPr>
      <w:r>
        <w:t xml:space="preserve">Пропишите логин/пароль системного пользователя для всех скриптов Блокирующих процессов</w:t>
      </w:r>
    </w:p>
    <w:bookmarkEnd w:id="162"/>
    <w:bookmarkEnd w:id="163"/>
    <w:p>
      <w:pPr>
        <w:pStyle w:val="FirstParagraph"/>
      </w:pPr>
      <w:bookmarkStart w:id="164" w:name="Task_4.xhtml"/>
      <w:bookmarkEnd w:id="164"/>
    </w:p>
    <w:bookmarkStart w:id="168" w:name="Task_4.xhtml#id1"/>
    <w:p>
      <w:pPr>
        <w:pStyle w:val="Heading1"/>
      </w:pPr>
      <w:r>
        <w:t xml:space="preserve">9.4. Задание 4</w:t>
      </w:r>
    </w:p>
    <w:p>
      <w:pPr>
        <w:numPr>
          <w:numId w:val="1129"/>
          <w:ilvl w:val="0"/>
        </w:numPr>
      </w:pPr>
      <w:r>
        <w:t xml:space="preserve">Создать тестовый адрес электронной почты</w:t>
      </w:r>
    </w:p>
    <w:bookmarkStart w:id="165" w:name="Task_4.xhtml#id2"/>
    <w:p>
      <w:pPr>
        <w:pStyle w:val="Heading2"/>
      </w:pPr>
      <w:r>
        <w:t xml:space="preserve">9.4.1. В подсистеме администрирования</w:t>
      </w:r>
    </w:p>
    <w:p>
      <w:pPr>
        <w:numPr>
          <w:numId w:val="1130"/>
          <w:ilvl w:val="0"/>
        </w:numPr>
      </w:pPr>
      <w:r>
        <w:t xml:space="preserve">Настроить уведомления, согласно руководству</w:t>
      </w:r>
    </w:p>
    <w:p>
      <w:pPr>
        <w:numPr>
          <w:numId w:val="1130"/>
          <w:ilvl w:val="0"/>
        </w:numPr>
      </w:pPr>
      <w:r>
        <w:t xml:space="preserve">Добавить всем пользователям в структуре e-mail</w:t>
      </w:r>
    </w:p>
    <w:bookmarkEnd w:id="165"/>
    <w:bookmarkStart w:id="166" w:name="Task_4.xhtml#id3"/>
    <w:p>
      <w:pPr>
        <w:pStyle w:val="Heading2"/>
      </w:pPr>
      <w:r>
        <w:t xml:space="preserve">9.4.2. В клиентской части</w:t>
      </w:r>
    </w:p>
    <w:p>
      <w:pPr>
        <w:numPr>
          <w:numId w:val="1131"/>
          <w:ilvl w:val="0"/>
        </w:numPr>
      </w:pPr>
      <w:r>
        <w:t xml:space="preserve">В реестре «Настройки уведомлений» создать запись и внести необходимые настройки текстов уведомлений. Можно использовать настройки указанные в руководстве, можно приминить свои.</w:t>
      </w:r>
    </w:p>
    <w:p>
      <w:pPr>
        <w:numPr>
          <w:numId w:val="1131"/>
          <w:ilvl w:val="0"/>
        </w:numPr>
      </w:pPr>
      <w:r>
        <w:t xml:space="preserve">В реестре «Настройки интеграции с почтой» создать запись и внести значения полей, согласно руководству</w:t>
      </w:r>
    </w:p>
    <w:bookmarkEnd w:id="166"/>
    <w:bookmarkStart w:id="167" w:name="Task_4.xhtml#id4"/>
    <w:p>
      <w:pPr>
        <w:pStyle w:val="Heading2"/>
      </w:pPr>
      <w:r>
        <w:t xml:space="preserve">9.4.3. В Конфигураторе</w:t>
      </w:r>
    </w:p>
    <w:p>
      <w:pPr>
        <w:numPr>
          <w:numId w:val="1132"/>
          <w:ilvl w:val="0"/>
        </w:numPr>
      </w:pPr>
      <w:r>
        <w:t xml:space="preserve">Для всех групп закрыть доступ на создание и удаление в реестрах «Настройки уведомления» и «Настройки интеграции с почтой»(необходимо для корректной отправки уведомлений на почту)</w:t>
      </w:r>
    </w:p>
    <w:bookmarkEnd w:id="167"/>
    <w:bookmarkEnd w:id="168"/>
    <w:p>
      <w:pPr>
        <w:pStyle w:val="FirstParagraph"/>
      </w:pPr>
      <w:bookmarkStart w:id="169" w:name="Task_5.xhtml"/>
      <w:bookmarkEnd w:id="169"/>
    </w:p>
    <w:bookmarkStart w:id="170" w:name="Task_5.xhtml#id1"/>
    <w:p>
      <w:pPr>
        <w:pStyle w:val="Heading1"/>
      </w:pPr>
      <w:r>
        <w:t xml:space="preserve">9.5. Задание 5</w:t>
      </w:r>
    </w:p>
    <w:p>
      <w:pPr>
        <w:pStyle w:val="FirstParagraph"/>
      </w:pPr>
      <w:r>
        <w:t xml:space="preserve">Создать по три записи в реестрах:</w:t>
      </w:r>
    </w:p>
    <w:p>
      <w:pPr>
        <w:numPr>
          <w:numId w:val="1133"/>
          <w:ilvl w:val="0"/>
        </w:numPr>
      </w:pPr>
      <w:r>
        <w:t xml:space="preserve">«Организация»</w:t>
      </w:r>
    </w:p>
    <w:p>
      <w:pPr>
        <w:numPr>
          <w:numId w:val="1133"/>
          <w:ilvl w:val="0"/>
        </w:numPr>
      </w:pPr>
      <w:r>
        <w:t xml:space="preserve">«Контакты»</w:t>
      </w:r>
    </w:p>
    <w:p>
      <w:pPr>
        <w:numPr>
          <w:numId w:val="1133"/>
          <w:ilvl w:val="0"/>
        </w:numPr>
      </w:pPr>
      <w:r>
        <w:t xml:space="preserve">«Лицензия»</w:t>
      </w:r>
    </w:p>
    <w:p>
      <w:pPr>
        <w:numPr>
          <w:numId w:val="1133"/>
          <w:ilvl w:val="0"/>
        </w:numPr>
      </w:pPr>
      <w:r>
        <w:t xml:space="preserve">«Сервисы»</w:t>
      </w:r>
    </w:p>
    <w:p>
      <w:pPr>
        <w:numPr>
          <w:numId w:val="1133"/>
          <w:ilvl w:val="0"/>
        </w:numPr>
      </w:pPr>
      <w:r>
        <w:t xml:space="preserve">«SLA»</w:t>
      </w:r>
    </w:p>
    <w:p>
      <w:pPr>
        <w:numPr>
          <w:numId w:val="1133"/>
          <w:ilvl w:val="0"/>
        </w:numPr>
      </w:pPr>
      <w:r>
        <w:t xml:space="preserve">«Сервисные команды»</w:t>
      </w:r>
    </w:p>
    <w:p>
      <w:pPr>
        <w:numPr>
          <w:numId w:val="1133"/>
          <w:ilvl w:val="0"/>
        </w:numPr>
      </w:pPr>
      <w:r>
        <w:t xml:space="preserve">«Конфигурационные единицы»</w:t>
      </w:r>
    </w:p>
    <w:bookmarkEnd w:id="170"/>
    <w:p>
      <w:pPr>
        <w:pStyle w:val="FirstParagraph"/>
      </w:pPr>
      <w:bookmarkStart w:id="171" w:name="Task_7.xhtml"/>
      <w:bookmarkEnd w:id="171"/>
    </w:p>
    <w:bookmarkStart w:id="175" w:name="Task_7.xhtml#id1"/>
    <w:p>
      <w:pPr>
        <w:pStyle w:val="Heading1"/>
      </w:pPr>
      <w:r>
        <w:t xml:space="preserve">9.6. Задание 7</w:t>
      </w:r>
    </w:p>
    <w:bookmarkStart w:id="172" w:name="Task_7.xhtml#email"/>
    <w:p>
      <w:pPr>
        <w:pStyle w:val="Heading2"/>
      </w:pPr>
      <w:r>
        <w:t xml:space="preserve">9.6.1. Обращение через email незарегистрированного пользователя</w:t>
      </w:r>
    </w:p>
    <w:p>
      <w:pPr>
        <w:numPr>
          <w:numId w:val="1134"/>
          <w:ilvl w:val="0"/>
        </w:numPr>
      </w:pPr>
      <w:r>
        <w:t xml:space="preserve">Отправьте письмо от незарегистрированного пользователя</w:t>
      </w:r>
    </w:p>
    <w:p>
      <w:pPr>
        <w:numPr>
          <w:numId w:val="1134"/>
          <w:ilvl w:val="0"/>
        </w:numPr>
      </w:pPr>
      <w:r>
        <w:t xml:space="preserve">Убедитесь, что пользователю направлено уведомление</w:t>
      </w:r>
    </w:p>
    <w:bookmarkEnd w:id="172"/>
    <w:bookmarkStart w:id="173" w:name="Task_7.xhtml#id2"/>
    <w:p>
      <w:pPr>
        <w:pStyle w:val="Heading2"/>
      </w:pPr>
      <w:r>
        <w:t xml:space="preserve">9.6.2. Обращение через email зарегистрированного пользователя</w:t>
      </w:r>
    </w:p>
    <w:p>
      <w:pPr>
        <w:numPr>
          <w:numId w:val="1135"/>
          <w:ilvl w:val="0"/>
        </w:numPr>
      </w:pPr>
      <w:r>
        <w:t xml:space="preserve">Отправьте письмо от зарегистрированного пользователя</w:t>
      </w:r>
    </w:p>
    <w:p>
      <w:pPr>
        <w:numPr>
          <w:numId w:val="1135"/>
          <w:ilvl w:val="0"/>
        </w:numPr>
      </w:pPr>
      <w:r>
        <w:t xml:space="preserve">Авторизуйтесь в системе Synergy ITSM</w:t>
      </w:r>
    </w:p>
    <w:p>
      <w:pPr>
        <w:numPr>
          <w:numId w:val="1135"/>
          <w:ilvl w:val="0"/>
        </w:numPr>
      </w:pPr>
      <w:r>
        <w:t xml:space="preserve">Перейдите в модуль «Реестры», убедитесь что новоя запись в реестрах добавлена</w:t>
      </w:r>
    </w:p>
    <w:bookmarkEnd w:id="173"/>
    <w:bookmarkStart w:id="174" w:name="Task_7.xhtml#id3"/>
    <w:p>
      <w:pPr>
        <w:pStyle w:val="Heading2"/>
      </w:pPr>
      <w:r>
        <w:t xml:space="preserve">9.6.3. Обращение через портал</w:t>
      </w:r>
    </w:p>
    <w:p>
      <w:pPr>
        <w:numPr>
          <w:numId w:val="1136"/>
          <w:ilvl w:val="0"/>
        </w:numPr>
      </w:pPr>
      <w:r>
        <w:t xml:space="preserve">Авторизоваться в модуле ITSM.</w:t>
      </w:r>
    </w:p>
    <w:p>
      <w:pPr>
        <w:numPr>
          <w:numId w:val="1136"/>
          <w:ilvl w:val="0"/>
        </w:numPr>
      </w:pPr>
      <w:r>
        <w:t xml:space="preserve">Выберите «Категорию услуг»</w:t>
      </w:r>
    </w:p>
    <w:p>
      <w:pPr>
        <w:numPr>
          <w:numId w:val="1136"/>
          <w:ilvl w:val="0"/>
        </w:numPr>
      </w:pPr>
      <w:r>
        <w:t xml:space="preserve">В открывшемся окне создайте обращение</w:t>
      </w:r>
    </w:p>
    <w:p>
      <w:pPr>
        <w:numPr>
          <w:numId w:val="1136"/>
          <w:ilvl w:val="0"/>
        </w:numPr>
      </w:pPr>
      <w:r>
        <w:t xml:space="preserve">Авторизуйтесь в системе Synergy ITSM в роли оператора</w:t>
      </w:r>
    </w:p>
    <w:p>
      <w:pPr>
        <w:numPr>
          <w:numId w:val="1136"/>
          <w:ilvl w:val="0"/>
        </w:numPr>
      </w:pPr>
      <w:r>
        <w:t xml:space="preserve">Убедитесь, что оператору в потоки работы пришло обращение для определения исполнителя</w:t>
      </w:r>
    </w:p>
    <w:bookmarkEnd w:id="174"/>
    <w:bookmarkEnd w:id="175"/>
    <w:p>
      <w:pPr>
        <w:pStyle w:val="FirstParagraph"/>
      </w:pPr>
      <w:bookmarkStart w:id="176" w:name="Task_8.xhtml"/>
      <w:bookmarkEnd w:id="176"/>
    </w:p>
    <w:bookmarkStart w:id="178" w:name="Task_8.xhtml#id1"/>
    <w:p>
      <w:pPr>
        <w:pStyle w:val="Heading1"/>
      </w:pPr>
      <w:r>
        <w:t xml:space="preserve">9.7. Задание 8</w:t>
      </w:r>
    </w:p>
    <w:bookmarkStart w:id="177" w:name="Task_8.xhtml#id2"/>
    <w:p>
      <w:pPr>
        <w:pStyle w:val="Heading2"/>
      </w:pPr>
      <w:r>
        <w:t xml:space="preserve">9.7.1. Жизненный цикл «Проблемы»</w:t>
      </w:r>
    </w:p>
    <w:p>
      <w:pPr>
        <w:numPr>
          <w:numId w:val="1137"/>
          <w:ilvl w:val="0"/>
        </w:numPr>
      </w:pPr>
      <w:r>
        <w:t xml:space="preserve">Из обращения создать проблему</w:t>
      </w:r>
    </w:p>
    <w:p>
      <w:pPr>
        <w:numPr>
          <w:numId w:val="1137"/>
          <w:ilvl w:val="0"/>
        </w:numPr>
      </w:pPr>
      <w:r>
        <w:t xml:space="preserve">Убедится, что была прописана ссылка на проблему в родительском обращении</w:t>
      </w:r>
    </w:p>
    <w:p>
      <w:pPr>
        <w:numPr>
          <w:numId w:val="1137"/>
          <w:ilvl w:val="0"/>
        </w:numPr>
      </w:pPr>
      <w:r>
        <w:t xml:space="preserve">Зайти в систему под Менеджером и назначить Исполнителя</w:t>
      </w:r>
    </w:p>
    <w:p>
      <w:pPr>
        <w:numPr>
          <w:numId w:val="1137"/>
          <w:ilvl w:val="0"/>
        </w:numPr>
      </w:pPr>
      <w:r>
        <w:t xml:space="preserve">Зайти в систему под Исполнителем завершить полученную работу</w:t>
      </w:r>
    </w:p>
    <w:p>
      <w:pPr>
        <w:numPr>
          <w:numId w:val="1137"/>
          <w:ilvl w:val="0"/>
        </w:numPr>
      </w:pPr>
      <w:r>
        <w:t xml:space="preserve">Убедится, что Описание решение автоматически появилось на форме родительского обращения,статус обращение, изменился</w:t>
      </w:r>
    </w:p>
    <w:bookmarkEnd w:id="177"/>
    <w:bookmarkEnd w:id="178"/>
    <w:p>
      <w:pPr>
        <w:pStyle w:val="FirstParagraph"/>
      </w:pPr>
      <w:bookmarkStart w:id="179" w:name="genindex.xhtml"/>
      <w:bookmarkEnd w:id="179"/>
    </w:p>
    <w:p>
      <w:pPr>
        <w:pStyle w:val="Heading1"/>
      </w:pPr>
      <w:bookmarkStart w:id="180" w:name="genindex.xhtml#index"/>
      <w:r>
        <w:t xml:space="preserve">Алфавитный указатель</w:t>
      </w:r>
      <w:bookmarkEnd w:id="180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3">
    <w:nsid w:val="b3cbbdee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4">
    <w:nsid w:val="4fbe019a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5">
    <w:nsid w:val="91a27d85"/>
    <w:multiLevelType w:val="multilevel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6">
    <w:nsid w:val="615f1ed2"/>
    <w:multiLevelType w:val="multilevel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6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6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7">
    <w:nsid w:val="238d8174"/>
    <w:multiLevelType w:val="multilevel"/>
    <w:lvl w:ilvl="0">
      <w:start w:val="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7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7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7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7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7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7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7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8">
    <w:nsid w:val="41f388d6"/>
    <w:multiLevelType w:val="multilevel"/>
    <w:lvl w:ilvl="0">
      <w:start w:val="8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8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8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8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8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8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8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0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3">
    <w:abstractNumId w:val="991"/>
  </w:num>
  <w:num w:numId="1024">
    <w:abstractNumId w:val="991"/>
  </w:num>
  <w:num w:numId="102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7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2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0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41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42">
    <w:abstractNumId w:val="9920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43">
    <w:abstractNumId w:val="991"/>
  </w:num>
  <w:num w:numId="104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3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64">
    <w:abstractNumId w:val="991"/>
  </w:num>
  <w:num w:numId="1065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71">
    <w:abstractNumId w:val="991"/>
  </w:num>
  <w:num w:numId="1072">
    <w:abstractNumId w:val="991"/>
  </w:num>
  <w:num w:numId="1073">
    <w:abstractNumId w:val="9920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74">
    <w:abstractNumId w:val="991"/>
  </w:num>
  <w:num w:numId="1075">
    <w:abstractNumId w:val="991"/>
  </w:num>
  <w:num w:numId="1076">
    <w:abstractNumId w:val="9920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77">
    <w:abstractNumId w:val="991"/>
  </w:num>
  <w:num w:numId="1078">
    <w:abstractNumId w:val="9920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79">
    <w:abstractNumId w:val="9920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80">
    <w:abstractNumId w:val="991"/>
  </w:num>
  <w:num w:numId="1081">
    <w:abstractNumId w:val="991"/>
  </w:num>
  <w:num w:numId="108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0">
    <w:abstractNumId w:val="991"/>
  </w:num>
  <w:num w:numId="1091">
    <w:abstractNumId w:val="991"/>
  </w:num>
  <w:num w:numId="1092">
    <w:abstractNumId w:val="991"/>
  </w:num>
  <w:num w:numId="1093">
    <w:abstractNumId w:val="991"/>
  </w:num>
  <w:num w:numId="1094">
    <w:abstractNumId w:val="991"/>
  </w:num>
  <w:num w:numId="1095">
    <w:abstractNumId w:val="991"/>
  </w:num>
  <w:num w:numId="1096">
    <w:abstractNumId w:val="991"/>
  </w:num>
  <w:num w:numId="1097">
    <w:abstractNumId w:val="991"/>
  </w:num>
  <w:num w:numId="1098">
    <w:abstractNumId w:val="991"/>
  </w:num>
  <w:num w:numId="1099">
    <w:abstractNumId w:val="991"/>
  </w:num>
  <w:num w:numId="1100">
    <w:abstractNumId w:val="991"/>
  </w:num>
  <w:num w:numId="1101">
    <w:abstractNumId w:val="991"/>
  </w:num>
  <w:num w:numId="1102">
    <w:abstractNumId w:val="991"/>
  </w:num>
  <w:num w:numId="11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4">
    <w:abstractNumId w:val="991"/>
  </w:num>
  <w:num w:numId="11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7">
    <w:abstractNumId w:val="991"/>
  </w:num>
  <w:num w:numId="11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9">
    <w:abstractNumId w:val="991"/>
  </w:num>
  <w:num w:numId="11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1">
    <w:abstractNumId w:val="991"/>
  </w:num>
  <w:num w:numId="11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3">
    <w:abstractNumId w:val="991"/>
  </w:num>
  <w:num w:numId="11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5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16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117">
    <w:abstractNumId w:val="991"/>
  </w:num>
  <w:num w:numId="1118">
    <w:abstractNumId w:val="991"/>
  </w:num>
  <w:num w:numId="1119">
    <w:abstractNumId w:val="991"/>
  </w:num>
  <w:num w:numId="1120">
    <w:abstractNumId w:val="991"/>
  </w:num>
  <w:num w:numId="1121">
    <w:abstractNumId w:val="991"/>
  </w:num>
  <w:num w:numId="1122">
    <w:abstractNumId w:val="991"/>
  </w:num>
  <w:num w:numId="1123">
    <w:abstractNumId w:val="991"/>
  </w:num>
  <w:num w:numId="1124">
    <w:abstractNumId w:val="991"/>
  </w:num>
  <w:num w:numId="112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7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2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0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31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132">
    <w:abstractNumId w:val="9920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13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50" Target="media/rId50.png" /><Relationship Type="http://schemas.openxmlformats.org/officeDocument/2006/relationships/image" Id="rId52" Target="media/rId52.png" /><Relationship Type="http://schemas.openxmlformats.org/officeDocument/2006/relationships/image" Id="rId80" Target="media/rId80.png" /><Relationship Type="http://schemas.openxmlformats.org/officeDocument/2006/relationships/image" Id="rId91" Target="media/rId91.png" /><Relationship Type="http://schemas.openxmlformats.org/officeDocument/2006/relationships/image" Id="rId97" Target="media/rId97.png" /><Relationship Type="http://schemas.openxmlformats.org/officeDocument/2006/relationships/image" Id="rId95" Target="media/rId95.png" /><Relationship Type="http://schemas.openxmlformats.org/officeDocument/2006/relationships/image" Id="rId93" Target="media/rId93.png" /><Relationship Type="http://schemas.openxmlformats.org/officeDocument/2006/relationships/image" Id="rId103" Target="media/rId103.png" /><Relationship Type="http://schemas.openxmlformats.org/officeDocument/2006/relationships/image" Id="rId101" Target="media/rId101.png" /><Relationship Type="http://schemas.openxmlformats.org/officeDocument/2006/relationships/image" Id="rId99" Target="media/rId99.png" /><Relationship Type="http://schemas.openxmlformats.org/officeDocument/2006/relationships/image" Id="rId89" Target="media/rId89.png" /><Relationship Type="http://schemas.openxmlformats.org/officeDocument/2006/relationships/image" Id="rId109" Target="media/rId109.png" /><Relationship Type="http://schemas.openxmlformats.org/officeDocument/2006/relationships/image" Id="rId86" Target="media/rId86.png" /><Relationship Type="http://schemas.openxmlformats.org/officeDocument/2006/relationships/image" Id="rId68" Target="media/rId68.png" /><Relationship Type="http://schemas.openxmlformats.org/officeDocument/2006/relationships/image" Id="rId70" Target="media/rId70.png" /><Relationship Type="http://schemas.openxmlformats.org/officeDocument/2006/relationships/image" Id="rId59" Target="media/rId59.png" /><Relationship Type="http://schemas.openxmlformats.org/officeDocument/2006/relationships/image" Id="rId61" Target="media/rId61.png" /><Relationship Type="http://schemas.openxmlformats.org/officeDocument/2006/relationships/image" Id="rId63" Target="media/rId63.png" /><Relationship Type="http://schemas.openxmlformats.org/officeDocument/2006/relationships/image" Id="rId65" Target="media/rId65.png" /><Relationship Type="http://schemas.openxmlformats.org/officeDocument/2006/relationships/image" Id="rId77" Target="media/rId77.png" /><Relationship Type="http://schemas.openxmlformats.org/officeDocument/2006/relationships/image" Id="rId143" Target="media/rId143.png" /><Relationship Type="http://schemas.openxmlformats.org/officeDocument/2006/relationships/image" Id="rId145" Target="media/rId145.png" /><Relationship Type="http://schemas.openxmlformats.org/officeDocument/2006/relationships/image" Id="rId147" Target="media/rId147.png" /><Relationship Type="http://schemas.openxmlformats.org/officeDocument/2006/relationships/image" Id="rId30" Target="media/rId30.png" /><Relationship Type="http://schemas.openxmlformats.org/officeDocument/2006/relationships/image" Id="rId32" Target="media/rId32.png" /><Relationship Type="http://schemas.openxmlformats.org/officeDocument/2006/relationships/hyperlink" Id="rId29" Target="http://ip/Synergy/" TargetMode="External" /><Relationship Type="http://schemas.openxmlformats.org/officeDocument/2006/relationships/hyperlink" Id="rId36" Target="http://rtd.lan.arta.kz/docs/guide/ru/hamming/" TargetMode="External" /><Relationship Type="http://schemas.openxmlformats.org/officeDocument/2006/relationships/hyperlink" Id="rId26" Target="http://rtd.lan.arta.kz/docs/itsm-custom-maual/ru/latest/First_configuration.html" TargetMode="External" /><Relationship Type="http://schemas.openxmlformats.org/officeDocument/2006/relationships/hyperlink" Id="rId25" Target="http://rtd.lan.arta.kz/docs/itsm-custom-maual/ru/latest/Install_manual.html" TargetMode="External" /><Relationship Type="http://schemas.openxmlformats.org/officeDocument/2006/relationships/hyperlink" Id="rId35" Target="http://rtd.lan.arta.kz/docs/itsm-custom-maual/ru/latest/Product_structure.html" TargetMode="External" /><Relationship Type="http://schemas.openxmlformats.org/officeDocument/2006/relationships/hyperlink" Id="rId23" Target="http://rtd.lan.arta.kz/docs/itsm-custom-maual/ru/latest/Task_1.html" TargetMode="External" /><Relationship Type="http://schemas.openxmlformats.org/officeDocument/2006/relationships/hyperlink" Id="rId45" Target="http://rtd.lan.arta.kz/docs/itsm-custom-maual/ru/latest/Task_2.html" TargetMode="External" /><Relationship Type="http://schemas.openxmlformats.org/officeDocument/2006/relationships/hyperlink" Id="rId54" Target="http://rtd.lan.arta.kz/docs/itsm-custom-maual/ru/latest/Task_3.html" TargetMode="External" /><Relationship Type="http://schemas.openxmlformats.org/officeDocument/2006/relationships/hyperlink" Id="rId72" Target="http://rtd.lan.arta.kz/docs/itsm-custom-maual/ru/latest/Task_4.html" TargetMode="External" /><Relationship Type="http://schemas.openxmlformats.org/officeDocument/2006/relationships/hyperlink" Id="rId121" Target="http://rtd.lan.arta.kz/docs/itsm-custom-maual/ru/latest/Task_6.html" TargetMode="External" /><Relationship Type="http://schemas.openxmlformats.org/officeDocument/2006/relationships/hyperlink" Id="rId27" Target="http://rtd.lan.arta.kz/docs/itsm-custom-maual/ru/latest/mail-integration.html" TargetMode="External" /><Relationship Type="http://schemas.openxmlformats.org/officeDocument/2006/relationships/hyperlink" Id="rId44" Target="http://tdd.lan.arta.kz/docs/synergy/trunk/admin-manual/html/appendix.dashboards.html" TargetMode="External" /><Relationship Type="http://schemas.openxmlformats.org/officeDocument/2006/relationships/hyperlink" Id="rId43" Target="http://tdd.lan.arta.kz/docs/synergy/trunk/admin-manual/html/install-and-setup.html" TargetMode="External" /><Relationship Type="http://schemas.openxmlformats.org/officeDocument/2006/relationships/hyperlink" Id="rId158" Target="https://itsm.arta.pro/Synergy/about" TargetMode="External" /><Relationship Type="http://schemas.openxmlformats.org/officeDocument/2006/relationships/hyperlink" Id="rId157" Target="https://itsm.arta.pro/itsm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9" Target="http://ip/Synergy/" TargetMode="External" /><Relationship Type="http://schemas.openxmlformats.org/officeDocument/2006/relationships/hyperlink" Id="rId36" Target="http://rtd.lan.arta.kz/docs/guide/ru/hamming/" TargetMode="External" /><Relationship Type="http://schemas.openxmlformats.org/officeDocument/2006/relationships/hyperlink" Id="rId26" Target="http://rtd.lan.arta.kz/docs/itsm-custom-maual/ru/latest/First_configuration.html" TargetMode="External" /><Relationship Type="http://schemas.openxmlformats.org/officeDocument/2006/relationships/hyperlink" Id="rId25" Target="http://rtd.lan.arta.kz/docs/itsm-custom-maual/ru/latest/Install_manual.html" TargetMode="External" /><Relationship Type="http://schemas.openxmlformats.org/officeDocument/2006/relationships/hyperlink" Id="rId35" Target="http://rtd.lan.arta.kz/docs/itsm-custom-maual/ru/latest/Product_structure.html" TargetMode="External" /><Relationship Type="http://schemas.openxmlformats.org/officeDocument/2006/relationships/hyperlink" Id="rId23" Target="http://rtd.lan.arta.kz/docs/itsm-custom-maual/ru/latest/Task_1.html" TargetMode="External" /><Relationship Type="http://schemas.openxmlformats.org/officeDocument/2006/relationships/hyperlink" Id="rId45" Target="http://rtd.lan.arta.kz/docs/itsm-custom-maual/ru/latest/Task_2.html" TargetMode="External" /><Relationship Type="http://schemas.openxmlformats.org/officeDocument/2006/relationships/hyperlink" Id="rId54" Target="http://rtd.lan.arta.kz/docs/itsm-custom-maual/ru/latest/Task_3.html" TargetMode="External" /><Relationship Type="http://schemas.openxmlformats.org/officeDocument/2006/relationships/hyperlink" Id="rId72" Target="http://rtd.lan.arta.kz/docs/itsm-custom-maual/ru/latest/Task_4.html" TargetMode="External" /><Relationship Type="http://schemas.openxmlformats.org/officeDocument/2006/relationships/hyperlink" Id="rId121" Target="http://rtd.lan.arta.kz/docs/itsm-custom-maual/ru/latest/Task_6.html" TargetMode="External" /><Relationship Type="http://schemas.openxmlformats.org/officeDocument/2006/relationships/hyperlink" Id="rId27" Target="http://rtd.lan.arta.kz/docs/itsm-custom-maual/ru/latest/mail-integration.html" TargetMode="External" /><Relationship Type="http://schemas.openxmlformats.org/officeDocument/2006/relationships/hyperlink" Id="rId44" Target="http://tdd.lan.arta.kz/docs/synergy/trunk/admin-manual/html/appendix.dashboards.html" TargetMode="External" /><Relationship Type="http://schemas.openxmlformats.org/officeDocument/2006/relationships/hyperlink" Id="rId43" Target="http://tdd.lan.arta.kz/docs/synergy/trunk/admin-manual/html/install-and-setup.html" TargetMode="External" /><Relationship Type="http://schemas.openxmlformats.org/officeDocument/2006/relationships/hyperlink" Id="rId158" Target="https://itsm.arta.pro/Synergy/about" TargetMode="External" /><Relationship Type="http://schemas.openxmlformats.org/officeDocument/2006/relationships/hyperlink" Id="rId157" Target="https://itsm.arta.pro/its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Руководство по внедрению Synergy ITSM 0.1-alpha</dc:title>
  <dc:creator>unknown</dc:creator>
  <cp:keywords/>
  <dcterms:created xsi:type="dcterms:W3CDTF">2024-05-31T12:46:16Z</dcterms:created>
  <dcterms:modified xsi:type="dcterms:W3CDTF">2024-05-31T12:46:16Z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