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8.jpg" ContentType="image/jpeg"/>
  <Override PartName="/word/media/rId206.png" ContentType="image/png"/>
  <Override PartName="/word/media/rId207.png" ContentType="image/png"/>
  <Override PartName="/word/media/rId208.png" ContentType="image/png"/>
  <Override PartName="/word/media/rId209.png" ContentType="image/png"/>
  <Override PartName="/word/media/rId118.png" ContentType="image/png"/>
  <Override PartName="/word/media/rId85.png" ContentType="image/png"/>
  <Override PartName="/word/media/rId108.png" ContentType="image/png"/>
  <Override PartName="/word/media/rId215.png" ContentType="image/png"/>
  <Override PartName="/word/media/rId220.png" ContentType="image/png"/>
  <Override PartName="/word/media/rId221.png" ContentType="image/png"/>
  <Override PartName="/word/media/rId222.png" ContentType="image/png"/>
  <Override PartName="/word/media/rId223.png" ContentType="image/png"/>
  <Override PartName="/word/media/rId224.png" ContentType="image/png"/>
  <Override PartName="/word/media/rId228.png" ContentType="image/png"/>
  <Override PartName="/word/media/rId229.png" ContentType="image/png"/>
  <Override PartName="/word/media/rId175.png" ContentType="image/png"/>
  <Override PartName="/word/media/rId176.png" ContentType="image/png"/>
  <Override PartName="/word/media/rId109.png" ContentType="image/png"/>
  <Override PartName="/word/media/rId177.png" ContentType="image/png"/>
  <Override PartName="/word/media/rId178.png" ContentType="image/png"/>
  <Override PartName="/word/media/rId179.png" ContentType="image/png"/>
  <Override PartName="/word/media/rId180.png" ContentType="image/png"/>
  <Override PartName="/word/media/rId181.png" ContentType="image/png"/>
  <Override PartName="/word/media/rId182.png" ContentType="image/png"/>
  <Override PartName="/word/media/rId183.png" ContentType="image/png"/>
  <Override PartName="/word/media/rId187.png" ContentType="image/png"/>
  <Override PartName="/word/media/rId192.png" ContentType="image/png"/>
  <Override PartName="/word/media/rId193.png" ContentType="image/png"/>
  <Override PartName="/word/media/rId110.png" ContentType="image/png"/>
  <Override PartName="/word/media/rId194.png" ContentType="image/png"/>
  <Override PartName="/word/media/rId195.png" ContentType="image/png"/>
  <Override PartName="/word/media/rId196.png" ContentType="image/png"/>
  <Override PartName="/word/media/rId197.png" ContentType="image/png"/>
  <Override PartName="/word/media/rId198.png" ContentType="image/png"/>
  <Override PartName="/word/media/rId199.png" ContentType="image/png"/>
  <Override PartName="/word/media/rId202.png" ContentType="image/png"/>
  <Override PartName="/word/media/rId203.png" ContentType="image/png"/>
  <Override PartName="/word/media/rId204.png" ContentType="image/png"/>
  <Override PartName="/word/media/rId240.png" ContentType="image/png"/>
  <Override PartName="/word/media/rId111.png" ContentType="image/png"/>
  <Override PartName="/word/media/rId241.png" ContentType="image/png"/>
  <Override PartName="/word/media/rId244.png" ContentType="image/png"/>
  <Override PartName="/word/media/rId247.png" ContentType="image/png"/>
  <Override PartName="/word/media/rId248.png" ContentType="image/png"/>
  <Override PartName="/word/media/rId249.png" ContentType="image/png"/>
  <Override PartName="/word/media/rId250.png" ContentType="image/png"/>
  <Override PartName="/word/media/rId251.png" ContentType="image/png"/>
  <Override PartName="/word/media/rId252.png" ContentType="image/png"/>
  <Override PartName="/word/media/rId253.png" ContentType="image/png"/>
  <Override PartName="/word/media/rId235.png" ContentType="image/png"/>
  <Override PartName="/word/media/rId112.png" ContentType="image/png"/>
  <Override PartName="/word/media/rId236.png" ContentType="image/png"/>
  <Override PartName="/word/media/rId237.png" ContentType="image/png"/>
  <Override PartName="/word/media/rId127.png" ContentType="image/png"/>
  <Override PartName="/word/media/rId132.png" ContentType="image/png"/>
  <Override PartName="/word/media/rId133.png" ContentType="image/png"/>
  <Override PartName="/word/media/rId136.png" ContentType="image/png"/>
  <Override PartName="/word/media/rId138.png" ContentType="image/png"/>
  <Override PartName="/word/media/rId113.png" ContentType="image/png"/>
  <Override PartName="/word/media/rId141.png" ContentType="image/png"/>
  <Override PartName="/word/media/rId143.png" ContentType="image/png"/>
  <Override PartName="/word/media/rId146.png" ContentType="image/png"/>
  <Override PartName="/word/media/rId148.png" ContentType="image/png"/>
  <Override PartName="/word/media/rId150.png" ContentType="image/png"/>
  <Override PartName="/word/media/rId152.png" ContentType="image/png"/>
  <Override PartName="/word/media/rId153.png" ContentType="image/png"/>
  <Override PartName="/word/media/rId155.png" ContentType="image/png"/>
  <Override PartName="/word/media/rId157.png" ContentType="image/png"/>
  <Override PartName="/word/media/rId158.png" ContentType="image/png"/>
  <Override PartName="/word/media/rId114.png" ContentType="image/png"/>
  <Override PartName="/word/media/rId160.png" ContentType="image/png"/>
  <Override PartName="/word/media/rId162.png" ContentType="image/png"/>
  <Override PartName="/word/media/rId163.png" ContentType="image/png"/>
  <Override PartName="/word/media/rId165.png" ContentType="image/png"/>
  <Override PartName="/word/media/rId184.png" ContentType="image/png"/>
  <Override PartName="/word/media/rId128.png" ContentType="image/png"/>
  <Override PartName="/word/media/rId129.png" ContentType="image/png"/>
  <Override PartName="/word/media/rId130.png" ContentType="image/png"/>
  <Override PartName="/word/media/rId126.png" ContentType="image/png"/>
  <Override PartName="/word/media/rId214.png" ContentType="image/png"/>
  <Override PartName="/word/media/rId171.png" ContentType="image/png"/>
  <Override PartName="/word/media/rId17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Что нового в версии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2024-06-03T04:33:04Z</w:t>
      </w:r>
    </w:p>
    <w:p>
      <w:pPr>
        <w:pStyle w:val="FirstParagraph"/>
      </w:pPr>
      <w:bookmarkStart w:id="20" w:name="index.xhtml"/>
      <w:bookmarkEnd w:id="20"/>
    </w:p>
    <w:bookmarkStart w:id="79" w:name="index.xhtml#arta-synergy-4-1-minsky"/>
    <w:p>
      <w:pPr>
        <w:pStyle w:val="Heading1"/>
      </w:pPr>
      <w:r>
        <w:t xml:space="preserve">Что нового в версии ARTA Synergy 4.1 minsky</w:t>
      </w:r>
    </w:p>
    <w:p>
      <w:pPr>
        <w:pStyle w:val="Compact"/>
        <w:numPr>
          <w:numId w:val="1001"/>
          <w:ilvl w:val="0"/>
        </w:numPr>
      </w:pPr>
      <w:hyperlink r:id="rId21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1"/>
          <w:ilvl w:val="0"/>
        </w:numPr>
      </w:pPr>
      <w:hyperlink r:id="rId22">
        <w:r>
          <w:rPr>
            <w:rStyle w:val="Hyperlink"/>
          </w:rPr>
          <w:t xml:space="preserve">2. Изменения без поддержки обратной совместимости</w:t>
        </w:r>
      </w:hyperlink>
    </w:p>
    <w:p>
      <w:pPr>
        <w:pStyle w:val="Compact"/>
        <w:numPr>
          <w:numId w:val="1001"/>
          <w:ilvl w:val="0"/>
        </w:numPr>
      </w:pPr>
      <w:hyperlink r:id="rId23">
        <w:r>
          <w:rPr>
            <w:rStyle w:val="Hyperlink"/>
          </w:rPr>
          <w:t xml:space="preserve">3. Обновление технологического стека</w:t>
        </w:r>
      </w:hyperlink>
    </w:p>
    <w:p>
      <w:pPr>
        <w:pStyle w:val="Compact"/>
        <w:numPr>
          <w:numId w:val="1002"/>
          <w:ilvl w:val="1"/>
        </w:numPr>
      </w:pPr>
      <w:hyperlink r:id="rId24">
        <w:r>
          <w:rPr>
            <w:rStyle w:val="Hyperlink"/>
          </w:rPr>
          <w:t xml:space="preserve">3.1. Переход к использованию WildFly</w:t>
        </w:r>
      </w:hyperlink>
    </w:p>
    <w:p>
      <w:pPr>
        <w:pStyle w:val="Compact"/>
        <w:numPr>
          <w:numId w:val="1003"/>
          <w:ilvl w:val="2"/>
        </w:numPr>
      </w:pPr>
      <w:hyperlink r:id="rId25">
        <w:r>
          <w:rPr>
            <w:rStyle w:val="Hyperlink"/>
          </w:rPr>
          <w:t xml:space="preserve">3.1.1. Инструкция по исправлению ошибок, возникших после обновления</w:t>
        </w:r>
      </w:hyperlink>
    </w:p>
    <w:p>
      <w:pPr>
        <w:pStyle w:val="Compact"/>
        <w:numPr>
          <w:numId w:val="1004"/>
          <w:ilvl w:val="3"/>
        </w:numPr>
      </w:pPr>
      <w:hyperlink r:id="rId26">
        <w:r>
          <w:rPr>
            <w:rStyle w:val="Hyperlink"/>
          </w:rPr>
          <w:t xml:space="preserve">3.1.1.1. Восстановление работы внешних модулей</w:t>
        </w:r>
      </w:hyperlink>
    </w:p>
    <w:p>
      <w:pPr>
        <w:pStyle w:val="Compact"/>
        <w:numPr>
          <w:numId w:val="1004"/>
          <w:ilvl w:val="3"/>
        </w:numPr>
      </w:pPr>
      <w:hyperlink r:id="rId27">
        <w:r>
          <w:rPr>
            <w:rStyle w:val="Hyperlink"/>
          </w:rPr>
          <w:t xml:space="preserve">3.1.1.2. Новый формат очередей</w:t>
        </w:r>
      </w:hyperlink>
    </w:p>
    <w:p>
      <w:pPr>
        <w:pStyle w:val="Compact"/>
        <w:numPr>
          <w:numId w:val="1004"/>
          <w:ilvl w:val="3"/>
        </w:numPr>
      </w:pPr>
      <w:hyperlink r:id="rId28">
        <w:r>
          <w:rPr>
            <w:rStyle w:val="Hyperlink"/>
          </w:rPr>
          <w:t xml:space="preserve">3.1.1.3. Изменения в скриптах интерпретатора</w:t>
        </w:r>
      </w:hyperlink>
    </w:p>
    <w:p>
      <w:pPr>
        <w:pStyle w:val="Compact"/>
        <w:numPr>
          <w:numId w:val="1002"/>
          <w:ilvl w:val="1"/>
        </w:numPr>
      </w:pPr>
      <w:hyperlink r:id="rId29">
        <w:r>
          <w:rPr>
            <w:rStyle w:val="Hyperlink"/>
          </w:rPr>
          <w:t xml:space="preserve">3.2. Обновление Lucene</w:t>
        </w:r>
      </w:hyperlink>
    </w:p>
    <w:p>
      <w:pPr>
        <w:pStyle w:val="Compact"/>
        <w:numPr>
          <w:numId w:val="1005"/>
          <w:ilvl w:val="2"/>
        </w:numPr>
      </w:pPr>
      <w:hyperlink r:id="rId30">
        <w:r>
          <w:rPr>
            <w:rStyle w:val="Hyperlink"/>
          </w:rPr>
          <w:t xml:space="preserve">3.2.1. Утилита для обновления индексов</w:t>
        </w:r>
      </w:hyperlink>
    </w:p>
    <w:p>
      <w:pPr>
        <w:pStyle w:val="Compact"/>
        <w:numPr>
          <w:numId w:val="1005"/>
          <w:ilvl w:val="2"/>
        </w:numPr>
      </w:pPr>
      <w:hyperlink r:id="rId31">
        <w:r>
          <w:rPr>
            <w:rStyle w:val="Hyperlink"/>
          </w:rPr>
          <w:t xml:space="preserve">3.2.2. Возможные ошибки</w:t>
        </w:r>
      </w:hyperlink>
    </w:p>
    <w:p>
      <w:pPr>
        <w:pStyle w:val="Compact"/>
        <w:numPr>
          <w:numId w:val="1002"/>
          <w:ilvl w:val="1"/>
        </w:numPr>
      </w:pPr>
      <w:hyperlink r:id="rId32">
        <w:r>
          <w:rPr>
            <w:rStyle w:val="Hyperlink"/>
          </w:rPr>
          <w:t xml:space="preserve">3.3. Обновление Cassandra</w:t>
        </w:r>
      </w:hyperlink>
    </w:p>
    <w:p>
      <w:pPr>
        <w:pStyle w:val="Compact"/>
        <w:numPr>
          <w:numId w:val="1006"/>
          <w:ilvl w:val="2"/>
        </w:numPr>
      </w:pPr>
      <w:hyperlink r:id="rId33">
        <w:r>
          <w:rPr>
            <w:rStyle w:val="Hyperlink"/>
          </w:rPr>
          <w:t xml:space="preserve">3.3.1. Как включить компрессию</w:t>
        </w:r>
      </w:hyperlink>
    </w:p>
    <w:p>
      <w:pPr>
        <w:pStyle w:val="Compact"/>
        <w:numPr>
          <w:numId w:val="1002"/>
          <w:ilvl w:val="1"/>
        </w:numPr>
      </w:pPr>
      <w:hyperlink r:id="rId34">
        <w:r>
          <w:rPr>
            <w:rStyle w:val="Hyperlink"/>
          </w:rPr>
          <w:t xml:space="preserve">3.4. Обновление JasperReports</w:t>
        </w:r>
      </w:hyperlink>
    </w:p>
    <w:p>
      <w:pPr>
        <w:pStyle w:val="Compact"/>
        <w:numPr>
          <w:numId w:val="1001"/>
          <w:ilvl w:val="0"/>
        </w:numPr>
      </w:pPr>
      <w:hyperlink r:id="rId35">
        <w:r>
          <w:rPr>
            <w:rStyle w:val="Hyperlink"/>
          </w:rPr>
          <w:t xml:space="preserve">4. Обновление функций Платформы</w:t>
        </w:r>
      </w:hyperlink>
    </w:p>
    <w:p>
      <w:pPr>
        <w:pStyle w:val="Compact"/>
        <w:numPr>
          <w:numId w:val="1007"/>
          <w:ilvl w:val="1"/>
        </w:numPr>
      </w:pPr>
      <w:hyperlink r:id="rId36">
        <w:r>
          <w:rPr>
            <w:rStyle w:val="Hyperlink"/>
          </w:rPr>
          <w:t xml:space="preserve">4.1. Реимплементация процессов</w:t>
        </w:r>
      </w:hyperlink>
    </w:p>
    <w:p>
      <w:pPr>
        <w:pStyle w:val="Compact"/>
        <w:numPr>
          <w:numId w:val="1008"/>
          <w:ilvl w:val="2"/>
        </w:numPr>
      </w:pPr>
      <w:hyperlink r:id="rId37">
        <w:r>
          <w:rPr>
            <w:rStyle w:val="Hyperlink"/>
          </w:rPr>
          <w:t xml:space="preserve">4.1.1. Изменения без поддержки обратной совместимости</w:t>
        </w:r>
      </w:hyperlink>
    </w:p>
    <w:p>
      <w:pPr>
        <w:pStyle w:val="Compact"/>
        <w:numPr>
          <w:numId w:val="1008"/>
          <w:ilvl w:val="2"/>
        </w:numPr>
      </w:pPr>
      <w:hyperlink r:id="rId38">
        <w:r>
          <w:rPr>
            <w:rStyle w:val="Hyperlink"/>
          </w:rPr>
          <w:t xml:space="preserve">4.1.2. Пример</w:t>
        </w:r>
      </w:hyperlink>
    </w:p>
    <w:p>
      <w:pPr>
        <w:pStyle w:val="Compact"/>
        <w:numPr>
          <w:numId w:val="1007"/>
          <w:ilvl w:val="1"/>
        </w:numPr>
      </w:pPr>
      <w:hyperlink r:id="rId39">
        <w:r>
          <w:rPr>
            <w:rStyle w:val="Hyperlink"/>
          </w:rPr>
          <w:t xml:space="preserve">4.2. Новый метод обмена корреспонденцией между организациями Synergy</w:t>
        </w:r>
      </w:hyperlink>
    </w:p>
    <w:p>
      <w:pPr>
        <w:pStyle w:val="Compact"/>
        <w:numPr>
          <w:numId w:val="1009"/>
          <w:ilvl w:val="2"/>
        </w:numPr>
      </w:pPr>
      <w:hyperlink r:id="rId40">
        <w:r>
          <w:rPr>
            <w:rStyle w:val="Hyperlink"/>
          </w:rPr>
          <w:t xml:space="preserve">4.2.1. Изменения методов API</w:t>
        </w:r>
      </w:hyperlink>
    </w:p>
    <w:p>
      <w:pPr>
        <w:pStyle w:val="Compact"/>
        <w:numPr>
          <w:numId w:val="1009"/>
          <w:ilvl w:val="2"/>
        </w:numPr>
      </w:pPr>
      <w:hyperlink r:id="rId41">
        <w:r>
          <w:rPr>
            <w:rStyle w:val="Hyperlink"/>
          </w:rPr>
          <w:t xml:space="preserve">4.2.2. Первичная настройка</w:t>
        </w:r>
      </w:hyperlink>
    </w:p>
    <w:p>
      <w:pPr>
        <w:pStyle w:val="Compact"/>
        <w:numPr>
          <w:numId w:val="1010"/>
          <w:ilvl w:val="3"/>
        </w:numPr>
      </w:pPr>
      <w:hyperlink r:id="rId42">
        <w:r>
          <w:rPr>
            <w:rStyle w:val="Hyperlink"/>
          </w:rPr>
          <w:t xml:space="preserve">4.2.2.1. Настройки модуля</w:t>
        </w:r>
      </w:hyperlink>
    </w:p>
    <w:p>
      <w:pPr>
        <w:pStyle w:val="Compact"/>
        <w:numPr>
          <w:numId w:val="1010"/>
          <w:ilvl w:val="3"/>
        </w:numPr>
      </w:pPr>
      <w:hyperlink r:id="rId43">
        <w:r>
          <w:rPr>
            <w:rStyle w:val="Hyperlink"/>
          </w:rPr>
          <w:t xml:space="preserve">4.2.2.2. Начало работы</w:t>
        </w:r>
      </w:hyperlink>
    </w:p>
    <w:p>
      <w:pPr>
        <w:pStyle w:val="Compact"/>
        <w:numPr>
          <w:numId w:val="1009"/>
          <w:ilvl w:val="2"/>
        </w:numPr>
      </w:pPr>
      <w:hyperlink r:id="rId44">
        <w:r>
          <w:rPr>
            <w:rStyle w:val="Hyperlink"/>
          </w:rPr>
          <w:t xml:space="preserve">4.2.3. Добавление нового корреспондента</w:t>
        </w:r>
      </w:hyperlink>
    </w:p>
    <w:p>
      <w:pPr>
        <w:pStyle w:val="Compact"/>
        <w:numPr>
          <w:numId w:val="1009"/>
          <w:ilvl w:val="2"/>
        </w:numPr>
      </w:pPr>
      <w:hyperlink r:id="rId45">
        <w:r>
          <w:rPr>
            <w:rStyle w:val="Hyperlink"/>
          </w:rPr>
          <w:t xml:space="preserve">4.2.4. Группы корреспондентов</w:t>
        </w:r>
      </w:hyperlink>
    </w:p>
    <w:p>
      <w:pPr>
        <w:pStyle w:val="Compact"/>
        <w:numPr>
          <w:numId w:val="1009"/>
          <w:ilvl w:val="2"/>
        </w:numPr>
      </w:pPr>
      <w:hyperlink r:id="rId46">
        <w:r>
          <w:rPr>
            <w:rStyle w:val="Hyperlink"/>
          </w:rPr>
          <w:t xml:space="preserve">4.2.5. Синхронизация</w:t>
        </w:r>
      </w:hyperlink>
    </w:p>
    <w:p>
      <w:pPr>
        <w:pStyle w:val="Compact"/>
        <w:numPr>
          <w:numId w:val="1011"/>
          <w:ilvl w:val="3"/>
        </w:numPr>
      </w:pPr>
      <w:hyperlink r:id="rId47">
        <w:r>
          <w:rPr>
            <w:rStyle w:val="Hyperlink"/>
          </w:rPr>
          <w:t xml:space="preserve">4.2.5.1. Пример: отправка и получение документов</w:t>
        </w:r>
      </w:hyperlink>
    </w:p>
    <w:p>
      <w:pPr>
        <w:pStyle w:val="Compact"/>
        <w:numPr>
          <w:numId w:val="1007"/>
          <w:ilvl w:val="1"/>
        </w:numPr>
      </w:pPr>
      <w:hyperlink r:id="rId48">
        <w:r>
          <w:rPr>
            <w:rStyle w:val="Hyperlink"/>
          </w:rPr>
          <w:t xml:space="preserve">4.3. Подключаемые библиотеки в Интерпретаторе</w:t>
        </w:r>
      </w:hyperlink>
    </w:p>
    <w:p>
      <w:pPr>
        <w:pStyle w:val="Compact"/>
        <w:numPr>
          <w:numId w:val="1007"/>
          <w:ilvl w:val="1"/>
        </w:numPr>
      </w:pPr>
      <w:hyperlink r:id="rId49">
        <w:r>
          <w:rPr>
            <w:rStyle w:val="Hyperlink"/>
          </w:rPr>
          <w:t xml:space="preserve">4.4. Доработка форм</w:t>
        </w:r>
      </w:hyperlink>
    </w:p>
    <w:p>
      <w:pPr>
        <w:pStyle w:val="Compact"/>
        <w:numPr>
          <w:numId w:val="1012"/>
          <w:ilvl w:val="2"/>
        </w:numPr>
      </w:pPr>
      <w:hyperlink r:id="rId50">
        <w:r>
          <w:rPr>
            <w:rStyle w:val="Hyperlink"/>
          </w:rPr>
          <w:t xml:space="preserve">4.4.1. Представления формы</w:t>
        </w:r>
      </w:hyperlink>
    </w:p>
    <w:p>
      <w:pPr>
        <w:pStyle w:val="Compact"/>
        <w:numPr>
          <w:numId w:val="1013"/>
          <w:ilvl w:val="3"/>
        </w:numPr>
      </w:pPr>
      <w:hyperlink r:id="rId51">
        <w:r>
          <w:rPr>
            <w:rStyle w:val="Hyperlink"/>
          </w:rPr>
          <w:t xml:space="preserve">4.4.1.1. Использование представлений форм</w:t>
        </w:r>
      </w:hyperlink>
    </w:p>
    <w:p>
      <w:pPr>
        <w:pStyle w:val="Compact"/>
        <w:numPr>
          <w:numId w:val="1012"/>
          <w:ilvl w:val="2"/>
        </w:numPr>
      </w:pPr>
      <w:hyperlink r:id="rId52">
        <w:r>
          <w:rPr>
            <w:rStyle w:val="Hyperlink"/>
          </w:rPr>
          <w:t xml:space="preserve">4.4.2. Новый компонент «Вычисляемое поле»</w:t>
        </w:r>
      </w:hyperlink>
    </w:p>
    <w:p>
      <w:pPr>
        <w:pStyle w:val="Compact"/>
        <w:numPr>
          <w:numId w:val="1014"/>
          <w:ilvl w:val="3"/>
        </w:numPr>
      </w:pPr>
      <w:hyperlink r:id="rId53">
        <w:r>
          <w:rPr>
            <w:rStyle w:val="Hyperlink"/>
          </w:rPr>
          <w:t xml:space="preserve">4.4.2.1. Описание компонента</w:t>
        </w:r>
      </w:hyperlink>
    </w:p>
    <w:p>
      <w:pPr>
        <w:pStyle w:val="Compact"/>
        <w:numPr>
          <w:numId w:val="1014"/>
          <w:ilvl w:val="3"/>
        </w:numPr>
      </w:pPr>
      <w:hyperlink r:id="rId54">
        <w:r>
          <w:rPr>
            <w:rStyle w:val="Hyperlink"/>
          </w:rPr>
          <w:t xml:space="preserve">4.4.2.2. Синтаксис формул</w:t>
        </w:r>
      </w:hyperlink>
    </w:p>
    <w:p>
      <w:pPr>
        <w:pStyle w:val="Compact"/>
        <w:numPr>
          <w:numId w:val="1014"/>
          <w:ilvl w:val="3"/>
        </w:numPr>
      </w:pPr>
      <w:hyperlink r:id="rId55">
        <w:r>
          <w:rPr>
            <w:rStyle w:val="Hyperlink"/>
          </w:rPr>
          <w:t xml:space="preserve">4.4.2.3. Работа с динамическими таблицами</w:t>
        </w:r>
      </w:hyperlink>
    </w:p>
    <w:p>
      <w:pPr>
        <w:pStyle w:val="Compact"/>
        <w:numPr>
          <w:numId w:val="1014"/>
          <w:ilvl w:val="3"/>
        </w:numPr>
      </w:pPr>
      <w:hyperlink r:id="rId56">
        <w:r>
          <w:rPr>
            <w:rStyle w:val="Hyperlink"/>
          </w:rPr>
          <w:t xml:space="preserve">4.4.2.4. Пример</w:t>
        </w:r>
      </w:hyperlink>
    </w:p>
    <w:p>
      <w:pPr>
        <w:pStyle w:val="Compact"/>
        <w:numPr>
          <w:numId w:val="1012"/>
          <w:ilvl w:val="2"/>
        </w:numPr>
      </w:pPr>
      <w:hyperlink r:id="rId57">
        <w:r>
          <w:rPr>
            <w:rStyle w:val="Hyperlink"/>
          </w:rPr>
          <w:t xml:space="preserve">4.4.3. Поиск в компоненте «Выпадающий список»</w:t>
        </w:r>
      </w:hyperlink>
    </w:p>
    <w:p>
      <w:pPr>
        <w:pStyle w:val="Compact"/>
        <w:numPr>
          <w:numId w:val="1012"/>
          <w:ilvl w:val="2"/>
        </w:numPr>
      </w:pPr>
      <w:hyperlink r:id="rId58">
        <w:r>
          <w:rPr>
            <w:rStyle w:val="Hyperlink"/>
          </w:rPr>
          <w:t xml:space="preserve">4.4.4. Изменение логики работы метода для заполнения значений компонента «Выбор вариантов»</w:t>
        </w:r>
      </w:hyperlink>
    </w:p>
    <w:p>
      <w:pPr>
        <w:pStyle w:val="Compact"/>
        <w:numPr>
          <w:numId w:val="1015"/>
          <w:ilvl w:val="3"/>
        </w:numPr>
      </w:pPr>
      <w:hyperlink r:id="rId59">
        <w:r>
          <w:rPr>
            <w:rStyle w:val="Hyperlink"/>
          </w:rPr>
          <w:t xml:space="preserve">4.4.4.1. Пример</w:t>
        </w:r>
      </w:hyperlink>
    </w:p>
    <w:p>
      <w:pPr>
        <w:pStyle w:val="Compact"/>
        <w:numPr>
          <w:numId w:val="1007"/>
          <w:ilvl w:val="1"/>
        </w:numPr>
      </w:pPr>
      <w:hyperlink r:id="rId60">
        <w:r>
          <w:rPr>
            <w:rStyle w:val="Hyperlink"/>
          </w:rPr>
          <w:t xml:space="preserve">4.5. Доработка процесса указания ответственного по этапу маршрута должностью</w:t>
        </w:r>
      </w:hyperlink>
    </w:p>
    <w:p>
      <w:pPr>
        <w:pStyle w:val="Compact"/>
        <w:numPr>
          <w:numId w:val="1016"/>
          <w:ilvl w:val="2"/>
        </w:numPr>
      </w:pPr>
      <w:hyperlink r:id="rId61">
        <w:r>
          <w:rPr>
            <w:rStyle w:val="Hyperlink"/>
          </w:rPr>
          <w:t xml:space="preserve">4.5.1. Метод API</w:t>
        </w:r>
      </w:hyperlink>
    </w:p>
    <w:p>
      <w:pPr>
        <w:pStyle w:val="Compact"/>
        <w:numPr>
          <w:numId w:val="1016"/>
          <w:ilvl w:val="2"/>
        </w:numPr>
      </w:pPr>
      <w:hyperlink r:id="rId62">
        <w:r>
          <w:rPr>
            <w:rStyle w:val="Hyperlink"/>
          </w:rPr>
          <w:t xml:space="preserve">4.5.2. Событие создания работы по выбору ответственного</w:t>
        </w:r>
      </w:hyperlink>
    </w:p>
    <w:p>
      <w:pPr>
        <w:pStyle w:val="Compact"/>
        <w:numPr>
          <w:numId w:val="1016"/>
          <w:ilvl w:val="2"/>
        </w:numPr>
      </w:pPr>
      <w:hyperlink r:id="rId63">
        <w:r>
          <w:rPr>
            <w:rStyle w:val="Hyperlink"/>
          </w:rPr>
          <w:t xml:space="preserve">4.5.3. Действия при обновлении</w:t>
        </w:r>
      </w:hyperlink>
    </w:p>
    <w:p>
      <w:pPr>
        <w:pStyle w:val="Compact"/>
        <w:numPr>
          <w:numId w:val="1016"/>
          <w:ilvl w:val="2"/>
        </w:numPr>
      </w:pPr>
      <w:hyperlink r:id="rId64">
        <w:r>
          <w:rPr>
            <w:rStyle w:val="Hyperlink"/>
          </w:rPr>
          <w:t xml:space="preserve">4.5.4. Пример</w:t>
        </w:r>
      </w:hyperlink>
    </w:p>
    <w:p>
      <w:pPr>
        <w:pStyle w:val="Compact"/>
        <w:numPr>
          <w:numId w:val="1007"/>
          <w:ilvl w:val="1"/>
        </w:numPr>
      </w:pPr>
      <w:hyperlink r:id="rId65">
        <w:r>
          <w:rPr>
            <w:rStyle w:val="Hyperlink"/>
          </w:rPr>
          <w:t xml:space="preserve">4.6. Доработка внешних модулей</w:t>
        </w:r>
      </w:hyperlink>
    </w:p>
    <w:p>
      <w:pPr>
        <w:pStyle w:val="Compact"/>
        <w:numPr>
          <w:numId w:val="1017"/>
          <w:ilvl w:val="2"/>
        </w:numPr>
      </w:pPr>
      <w:hyperlink r:id="rId66">
        <w:r>
          <w:rPr>
            <w:rStyle w:val="Hyperlink"/>
          </w:rPr>
          <w:t xml:space="preserve">4.6.1. Назначение прав на внешний модуль с помощью групп пользователей</w:t>
        </w:r>
      </w:hyperlink>
    </w:p>
    <w:p>
      <w:pPr>
        <w:pStyle w:val="Compact"/>
        <w:numPr>
          <w:numId w:val="1018"/>
          <w:ilvl w:val="3"/>
        </w:numPr>
      </w:pPr>
      <w:hyperlink r:id="rId67">
        <w:r>
          <w:rPr>
            <w:rStyle w:val="Hyperlink"/>
          </w:rPr>
          <w:t xml:space="preserve">4.6.1.1. Действия при обновлении</w:t>
        </w:r>
      </w:hyperlink>
    </w:p>
    <w:p>
      <w:pPr>
        <w:pStyle w:val="Compact"/>
        <w:numPr>
          <w:numId w:val="1017"/>
          <w:ilvl w:val="2"/>
        </w:numPr>
      </w:pPr>
      <w:hyperlink r:id="rId68">
        <w:r>
          <w:rPr>
            <w:rStyle w:val="Hyperlink"/>
          </w:rPr>
          <w:t xml:space="preserve">4.6.2. Расширение возможности авторизации по ключам</w:t>
        </w:r>
      </w:hyperlink>
    </w:p>
    <w:p>
      <w:pPr>
        <w:pStyle w:val="Compact"/>
        <w:numPr>
          <w:numId w:val="1007"/>
          <w:ilvl w:val="1"/>
        </w:numPr>
      </w:pPr>
      <w:hyperlink r:id="rId69">
        <w:r>
          <w:rPr>
            <w:rStyle w:val="Hyperlink"/>
          </w:rPr>
          <w:t xml:space="preserve">4.7. Сравнение дробных чисел в фильтрах реестров</w:t>
        </w:r>
      </w:hyperlink>
    </w:p>
    <w:p>
      <w:pPr>
        <w:pStyle w:val="Compact"/>
        <w:numPr>
          <w:numId w:val="1007"/>
          <w:ilvl w:val="1"/>
        </w:numPr>
      </w:pPr>
      <w:hyperlink r:id="rId70">
        <w:r>
          <w:rPr>
            <w:rStyle w:val="Hyperlink"/>
          </w:rPr>
          <w:t xml:space="preserve">4.8. Импорт элементов в справочник</w:t>
        </w:r>
      </w:hyperlink>
    </w:p>
    <w:p>
      <w:pPr>
        <w:pStyle w:val="Compact"/>
        <w:numPr>
          <w:numId w:val="1019"/>
          <w:ilvl w:val="2"/>
        </w:numPr>
      </w:pPr>
      <w:hyperlink r:id="rId71">
        <w:r>
          <w:rPr>
            <w:rStyle w:val="Hyperlink"/>
          </w:rPr>
          <w:t xml:space="preserve">4.8.1. Общее описание процесса импорта</w:t>
        </w:r>
      </w:hyperlink>
    </w:p>
    <w:p>
      <w:pPr>
        <w:pStyle w:val="Compact"/>
        <w:numPr>
          <w:numId w:val="1020"/>
          <w:ilvl w:val="3"/>
        </w:numPr>
      </w:pPr>
      <w:hyperlink r:id="rId72">
        <w:r>
          <w:rPr>
            <w:rStyle w:val="Hyperlink"/>
          </w:rPr>
          <w:t xml:space="preserve">4.8.1.1. Сопоставление импортированных элементов элементам справочника</w:t>
        </w:r>
      </w:hyperlink>
    </w:p>
    <w:p>
      <w:pPr>
        <w:pStyle w:val="Compact"/>
        <w:numPr>
          <w:numId w:val="1020"/>
          <w:ilvl w:val="3"/>
        </w:numPr>
      </w:pPr>
      <w:hyperlink r:id="rId73">
        <w:r>
          <w:rPr>
            <w:rStyle w:val="Hyperlink"/>
          </w:rPr>
          <w:t xml:space="preserve">4.8.1.2. Переводимые столбцы</w:t>
        </w:r>
      </w:hyperlink>
    </w:p>
    <w:p>
      <w:pPr>
        <w:pStyle w:val="Compact"/>
        <w:numPr>
          <w:numId w:val="1020"/>
          <w:ilvl w:val="3"/>
        </w:numPr>
      </w:pPr>
      <w:hyperlink r:id="rId74">
        <w:r>
          <w:rPr>
            <w:rStyle w:val="Hyperlink"/>
          </w:rPr>
          <w:t xml:space="preserve">4.8.1.3. Результат проверки</w:t>
        </w:r>
      </w:hyperlink>
    </w:p>
    <w:p>
      <w:pPr>
        <w:pStyle w:val="Compact"/>
        <w:numPr>
          <w:numId w:val="1019"/>
          <w:ilvl w:val="2"/>
        </w:numPr>
      </w:pPr>
      <w:hyperlink r:id="rId75">
        <w:r>
          <w:rPr>
            <w:rStyle w:val="Hyperlink"/>
          </w:rPr>
          <w:t xml:space="preserve">4.8.2. Пример</w:t>
        </w:r>
      </w:hyperlink>
    </w:p>
    <w:p>
      <w:pPr>
        <w:pStyle w:val="Compact"/>
        <w:numPr>
          <w:numId w:val="1001"/>
          <w:ilvl w:val="0"/>
        </w:numPr>
      </w:pPr>
      <w:hyperlink r:id="rId76">
        <w:r>
          <w:rPr>
            <w:rStyle w:val="Hyperlink"/>
          </w:rPr>
          <w:t xml:space="preserve">5. Особенности установки ARTA Synergy 4.1 minsky</w:t>
        </w:r>
      </w:hyperlink>
    </w:p>
    <w:p>
      <w:pPr>
        <w:pStyle w:val="Compact"/>
        <w:numPr>
          <w:numId w:val="1021"/>
          <w:ilvl w:val="1"/>
        </w:numPr>
      </w:pPr>
      <w:hyperlink r:id="rId77">
        <w:r>
          <w:rPr>
            <w:rStyle w:val="Hyperlink"/>
          </w:rPr>
          <w:t xml:space="preserve">5.1. Процесс обновления</w:t>
        </w:r>
      </w:hyperlink>
    </w:p>
    <w:p>
      <w:pPr>
        <w:pStyle w:val="Compact"/>
        <w:numPr>
          <w:numId w:val="1021"/>
          <w:ilvl w:val="1"/>
        </w:numPr>
      </w:pPr>
      <w:hyperlink r:id="rId78">
        <w:r>
          <w:rPr>
            <w:rStyle w:val="Hyperlink"/>
          </w:rPr>
          <w:t xml:space="preserve">5.2. После обновления</w:t>
        </w:r>
      </w:hyperlink>
    </w:p>
    <w:bookmarkEnd w:id="79"/>
    <w:p>
      <w:pPr>
        <w:pStyle w:val="FirstParagraph"/>
      </w:pPr>
      <w:bookmarkStart w:id="80" w:name="intro.xhtml"/>
      <w:bookmarkEnd w:id="80"/>
    </w:p>
    <w:bookmarkStart w:id="81" w:name="intro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Версия 4.1</w:t>
      </w:r>
      <w:r>
        <w:t xml:space="preserve"> </w:t>
      </w:r>
      <w:r>
        <w:rPr>
          <w:rStyle w:val="VerbatimChar"/>
        </w:rPr>
        <w:t xml:space="preserve">minsky</w:t>
      </w:r>
      <w:r>
        <w:t xml:space="preserve"> </w:t>
      </w:r>
      <w:r>
        <w:t xml:space="preserve">выпущена</w:t>
      </w:r>
      <w:r>
        <w:t xml:space="preserve"> </w:t>
      </w:r>
      <w:r>
        <w:rPr>
          <w:b/>
        </w:rPr>
        <w:t xml:space="preserve">1 сентября 2019 года</w:t>
      </w:r>
      <w:r>
        <w:t xml:space="preserve">. Названа она в честь американского ученого Марвина Ли Минского,</w:t>
      </w:r>
      <w:r>
        <w:t xml:space="preserve"> </w:t>
      </w:r>
      <w:r>
        <w:t xml:space="preserve">удостоенного премии Тьюринга за его огромный вклад в создание, формирование, продвижение и развитие искусственного</w:t>
      </w:r>
      <w:r>
        <w:t xml:space="preserve"> </w:t>
      </w:r>
      <w:r>
        <w:t xml:space="preserve">интеллекта как научного направления.</w:t>
      </w:r>
    </w:p>
    <w:p>
      <w:pPr>
        <w:pStyle w:val="BodyText"/>
      </w:pPr>
      <w:r>
        <w:t xml:space="preserve">Основной особенностью версии</w:t>
      </w:r>
      <w:r>
        <w:t xml:space="preserve"> </w:t>
      </w:r>
      <w:r>
        <w:rPr>
          <w:rStyle w:val="VerbatimChar"/>
        </w:rPr>
        <w:t xml:space="preserve">minsky</w:t>
      </w:r>
      <w:r>
        <w:t xml:space="preserve"> </w:t>
      </w:r>
      <w:r>
        <w:t xml:space="preserve">является обновление технологического стека платформы и исключение некоторых</w:t>
      </w:r>
      <w:r>
        <w:t xml:space="preserve"> </w:t>
      </w:r>
      <w:r>
        <w:t xml:space="preserve">устаревших функций. Это значительно упростит дальнейшую разработку новых функций, в особенности тех, которые связаны</w:t>
      </w:r>
      <w:r>
        <w:t xml:space="preserve"> </w:t>
      </w:r>
      <w:r>
        <w:t xml:space="preserve">с формами и с процессами реестров.</w:t>
      </w:r>
    </w:p>
    <w:p>
      <w:pPr>
        <w:pStyle w:val="BodyText"/>
      </w:pPr>
      <w:r>
        <w:t xml:space="preserve">Версия 4.1 выпускается как Development-версия и не является LTS. Баги, обнаруженные в версии, будут исправляться, но</w:t>
      </w:r>
      <w:r>
        <w:t xml:space="preserve"> </w:t>
      </w:r>
      <w:r>
        <w:t xml:space="preserve">срок исправлений не гарантируется. Цель выпуска dev-версии - предоставление раннего доступа к новых возможностям</w:t>
      </w:r>
      <w:r>
        <w:t xml:space="preserve"> </w:t>
      </w:r>
      <w:r>
        <w:t xml:space="preserve">Платформы.</w:t>
      </w:r>
    </w:p>
    <w:bookmarkEnd w:id="81"/>
    <w:p>
      <w:pPr>
        <w:pStyle w:val="BodyText"/>
      </w:pPr>
      <w:bookmarkStart w:id="82" w:name="breaking_changes.xhtml"/>
      <w:bookmarkEnd w:id="82"/>
    </w:p>
    <w:bookmarkStart w:id="83" w:name="breaking_changes.xhtml#id1"/>
    <w:p>
      <w:pPr>
        <w:pStyle w:val="Heading1"/>
      </w:pPr>
      <w:r>
        <w:t xml:space="preserve">2. Изменения без поддержки обратной совместимости</w:t>
      </w:r>
    </w:p>
    <w:p>
      <w:pPr>
        <w:pStyle w:val="FirstParagraph"/>
      </w:pPr>
      <w:r>
        <w:t xml:space="preserve">Обновление технологического стека платформы повлекло за собой некоторые изменения без поддержки обратной совместимости,</w:t>
      </w:r>
      <w:r>
        <w:t xml:space="preserve"> </w:t>
      </w:r>
      <w:r>
        <w:t xml:space="preserve">которые потенциально могут вызвать неправильную работу реализованного ранее функционала:</w:t>
      </w:r>
    </w:p>
    <w:p>
      <w:pPr>
        <w:pStyle w:val="DefinitionTerm"/>
        <w:numPr>
          <w:numId w:val="1022"/>
          <w:ilvl w:val="0"/>
        </w:numPr>
      </w:pPr>
      <w:r>
        <w:rPr>
          <w:b/>
        </w:rPr>
        <w:t xml:space="preserve">Исключенные функции платформы:</w:t>
      </w:r>
    </w:p>
    <w:p>
      <w:pPr>
        <w:pStyle w:val="Definition"/>
        <w:numPr>
          <w:numId w:val="1023"/>
          <w:ilvl w:val="1"/>
        </w:numPr>
      </w:pPr>
      <w:r>
        <w:t xml:space="preserve">группы работ</w:t>
      </w:r>
    </w:p>
    <w:p>
      <w:pPr>
        <w:pStyle w:val="Definition"/>
        <w:numPr>
          <w:numId w:val="1023"/>
          <w:ilvl w:val="1"/>
        </w:numPr>
      </w:pPr>
      <w:r>
        <w:t xml:space="preserve">разделы «Обсуждения» и «Ссылки» в файле и документе</w:t>
      </w:r>
    </w:p>
    <w:p>
      <w:pPr>
        <w:pStyle w:val="Definition"/>
        <w:numPr>
          <w:numId w:val="1023"/>
          <w:ilvl w:val="1"/>
        </w:numPr>
      </w:pPr>
      <w:r>
        <w:t xml:space="preserve">модуль «Цели и показатели»</w:t>
      </w:r>
    </w:p>
    <w:p>
      <w:pPr>
        <w:pStyle w:val="Definition"/>
        <w:numPr>
          <w:numId w:val="1023"/>
          <w:ilvl w:val="1"/>
        </w:numPr>
      </w:pPr>
      <w:r>
        <w:t xml:space="preserve">модуль IM (внутренний чат)</w:t>
      </w:r>
    </w:p>
    <w:p>
      <w:pPr>
        <w:pStyle w:val="Definition"/>
        <w:numPr>
          <w:numId w:val="1023"/>
          <w:ilvl w:val="1"/>
        </w:numPr>
      </w:pPr>
      <w:r>
        <w:t xml:space="preserve">встроенный отчет по оргструктуре</w:t>
      </w:r>
    </w:p>
    <w:p>
      <w:pPr>
        <w:pStyle w:val="Definition"/>
        <w:numPr>
          <w:numId w:val="1023"/>
          <w:ilvl w:val="1"/>
        </w:numPr>
      </w:pPr>
      <w:r>
        <w:t xml:space="preserve">мастер первоначальной настройки</w:t>
      </w:r>
    </w:p>
    <w:p>
      <w:pPr>
        <w:pStyle w:val="Definition"/>
        <w:numPr>
          <w:numId w:val="1023"/>
          <w:ilvl w:val="1"/>
        </w:numPr>
      </w:pPr>
      <w:r>
        <w:t xml:space="preserve">мониторинг Хранилища</w:t>
      </w:r>
    </w:p>
    <w:p>
      <w:pPr>
        <w:pStyle w:val="Definition"/>
        <w:numPr>
          <w:numId w:val="1023"/>
          <w:ilvl w:val="1"/>
        </w:numPr>
      </w:pPr>
      <w:r>
        <w:t xml:space="preserve">репликация Хранилища</w:t>
      </w:r>
    </w:p>
    <w:p>
      <w:pPr>
        <w:pStyle w:val="Definition"/>
        <w:numPr>
          <w:numId w:val="1023"/>
          <w:ilvl w:val="1"/>
        </w:numPr>
      </w:pPr>
      <w:r>
        <w:t xml:space="preserve">модуль «Проекты» по умолчанию отключен</w:t>
      </w:r>
    </w:p>
    <w:p>
      <w:pPr>
        <w:pStyle w:val="DefinitionTerm"/>
        <w:numPr>
          <w:numId w:val="1022"/>
          <w:ilvl w:val="0"/>
        </w:numPr>
      </w:pPr>
      <w:r>
        <w:rPr>
          <w:b/>
        </w:rPr>
        <w:t xml:space="preserve">Обновления технологического стека:</w:t>
      </w:r>
    </w:p>
    <w:p>
      <w:pPr>
        <w:pStyle w:val="Definition"/>
        <w:numPr>
          <w:numId w:val="1024"/>
          <w:ilvl w:val="1"/>
        </w:numPr>
      </w:pPr>
      <w:r>
        <w:t xml:space="preserve">Вместо jboss версии 7.1.3 Synergy теперь использует сервер приложений WildFly версии 14. Подробно об изменениях,</w:t>
      </w:r>
      <w:r>
        <w:t xml:space="preserve"> </w:t>
      </w:r>
      <w:r>
        <w:t xml:space="preserve">касающихся этой версии, и возможных проблемах рассказано в разделе «Переход к использованию WildFly».</w:t>
      </w:r>
    </w:p>
    <w:p>
      <w:pPr>
        <w:pStyle w:val="Definition"/>
        <w:numPr>
          <w:numId w:val="1024"/>
          <w:ilvl w:val="1"/>
        </w:numPr>
      </w:pPr>
      <w:r>
        <w:t xml:space="preserve">Обновлена используемая версия индексатора Lucene. При обновлении системы необходимо будет обновить индексы, используя</w:t>
      </w:r>
      <w:r>
        <w:t xml:space="preserve"> </w:t>
      </w:r>
      <w:r>
        <w:t xml:space="preserve">специальную утилиту, или переиндексировать данные полностью.</w:t>
      </w:r>
    </w:p>
    <w:p>
      <w:pPr>
        <w:pStyle w:val="Definition"/>
        <w:numPr>
          <w:numId w:val="1024"/>
          <w:ilvl w:val="1"/>
        </w:numPr>
      </w:pPr>
      <w:r>
        <w:t xml:space="preserve">Добавлена поддержка системы построения отчетов JasperReports версии 6.6.0. Эта версия позволяет использовать в отчетах</w:t>
      </w:r>
      <w:r>
        <w:t xml:space="preserve"> </w:t>
      </w:r>
      <w:r>
        <w:t xml:space="preserve">не только SQL-запросы, но и данные JSON. Инструкция по работе с этой версией JasperReports приведена в документации.</w:t>
      </w:r>
    </w:p>
    <w:p>
      <w:pPr>
        <w:pStyle w:val="Definition"/>
        <w:numPr>
          <w:numId w:val="1024"/>
          <w:ilvl w:val="1"/>
        </w:numPr>
      </w:pPr>
      <w:r>
        <w:t xml:space="preserve">Обновлены версии Jackrabbit (управление Хранилищем) и Jackson (парсер JSON).</w:t>
      </w:r>
    </w:p>
    <w:p>
      <w:pPr>
        <w:pStyle w:val="Definition"/>
        <w:numPr>
          <w:numId w:val="1024"/>
          <w:ilvl w:val="1"/>
        </w:numPr>
      </w:pPr>
      <w:r>
        <w:t xml:space="preserve">Исключен модуль JBPM, в связи с чем процессы для маршрутов реестров написаны заново. Подробное описание изменений приведено</w:t>
      </w:r>
      <w:r>
        <w:t xml:space="preserve"> </w:t>
      </w:r>
      <w:r>
        <w:t xml:space="preserve">в разделе «Реимплементация процессов».</w:t>
      </w:r>
    </w:p>
    <w:p>
      <w:pPr>
        <w:pStyle w:val="Definition"/>
        <w:numPr>
          <w:numId w:val="1024"/>
          <w:ilvl w:val="1"/>
        </w:numPr>
      </w:pPr>
      <w:r>
        <w:t xml:space="preserve">Полностью обновлен модуль обмена корреспонденцией между организациями Synergy: модуль DF-EX исключен, вместо него реализован</w:t>
      </w:r>
      <w:r>
        <w:t xml:space="preserve"> </w:t>
      </w:r>
      <w:r>
        <w:t xml:space="preserve">модуль Document Exchange. Руководство по его использованию приведено в документации.</w:t>
      </w:r>
    </w:p>
    <w:p>
      <w:pPr>
        <w:pStyle w:val="DefinitionTerm"/>
        <w:numPr>
          <w:numId w:val="1022"/>
          <w:ilvl w:val="0"/>
        </w:numPr>
      </w:pPr>
      <w:r>
        <w:rPr>
          <w:b/>
        </w:rPr>
        <w:t xml:space="preserve">Обновления функций платформы:</w:t>
      </w:r>
    </w:p>
    <w:p>
      <w:pPr>
        <w:pStyle w:val="Definition"/>
        <w:numPr>
          <w:numId w:val="1025"/>
          <w:ilvl w:val="1"/>
        </w:numPr>
      </w:pPr>
      <w:r>
        <w:t xml:space="preserve">Изменена логика работы метода для установки значения компонента формы «Выбор вариантов» в интерпретаторе. Подробное описание</w:t>
      </w:r>
      <w:r>
        <w:t xml:space="preserve"> </w:t>
      </w:r>
      <w:r>
        <w:t xml:space="preserve">новой логики метода приведено в разделе «Изменение логики работы метода для заполнения значений компонента «Выбор вариантов»«.</w:t>
      </w:r>
    </w:p>
    <w:p>
      <w:pPr>
        <w:pStyle w:val="Definition"/>
        <w:numPr>
          <w:numId w:val="1025"/>
          <w:ilvl w:val="1"/>
        </w:numPr>
      </w:pPr>
      <w:r>
        <w:t xml:space="preserve">Доработана возможность указания ответственного по этапу маршрута должностью. Теперь задача руководителю по выбору ответственного</w:t>
      </w:r>
      <w:r>
        <w:t xml:space="preserve"> </w:t>
      </w:r>
      <w:r>
        <w:t xml:space="preserve">сотрудника приходит не в Ежедневник, а в модуль «Потоки работ».</w:t>
      </w:r>
    </w:p>
    <w:p>
      <w:pPr>
        <w:pStyle w:val="Definition"/>
        <w:numPr>
          <w:numId w:val="1025"/>
          <w:ilvl w:val="1"/>
        </w:numPr>
      </w:pPr>
      <w:r>
        <w:t xml:space="preserve">Изменено назначение прав на внешний модуль. Теперь настроить права доступа к внешнему модулю можно прямо в свойствах этого модуля</w:t>
      </w:r>
      <w:r>
        <w:t xml:space="preserve"> </w:t>
      </w:r>
      <w:r>
        <w:t xml:space="preserve">в Synergy IDE. Возможность настройки доступа к внешним модулям средствами Административного приложения исключена.</w:t>
      </w:r>
    </w:p>
    <w:bookmarkEnd w:id="83"/>
    <w:p>
      <w:pPr>
        <w:pStyle w:val="FirstParagraph"/>
      </w:pPr>
      <w:bookmarkStart w:id="84" w:name="tech_stack.xhtml"/>
      <w:bookmarkEnd w:id="84"/>
    </w:p>
    <w:bookmarkStart w:id="103" w:name="tech_stack.xhtml#id1"/>
    <w:p>
      <w:pPr>
        <w:pStyle w:val="Heading1"/>
      </w:pPr>
      <w:r>
        <w:t xml:space="preserve">3. Обновление технологического стека</w:t>
      </w:r>
    </w:p>
    <w:bookmarkStart w:id="91" w:name="tech_stack.xhtml#wildfly"/>
    <w:p>
      <w:pPr>
        <w:pStyle w:val="Heading2"/>
      </w:pPr>
      <w:r>
        <w:t xml:space="preserve">3.1. Переход к использованию WildFly</w:t>
      </w:r>
    </w:p>
    <w:p>
      <w:pPr>
        <w:pStyle w:val="FirstParagraph"/>
      </w:pPr>
      <w:r>
        <w:rPr>
          <w:b/>
        </w:rPr>
        <w:t xml:space="preserve">WildFly</w:t>
      </w:r>
      <w:r>
        <w:t xml:space="preserve"> </w:t>
      </w:r>
      <w:r>
        <w:t xml:space="preserve">- это новый формат Java EE-сервера приложений, ранее известного как</w:t>
      </w:r>
      <w:r>
        <w:t xml:space="preserve"> </w:t>
      </w:r>
      <w:r>
        <w:rPr>
          <w:b/>
        </w:rPr>
        <w:t xml:space="preserve">JBoss AS.</w:t>
      </w:r>
      <w:r>
        <w:t xml:space="preserve"> </w:t>
      </w:r>
      <w:r>
        <w:t xml:space="preserve">В Synergy 4.1</w:t>
      </w:r>
      <w:r>
        <w:t xml:space="preserve"> </w:t>
      </w:r>
      <w:r>
        <w:t xml:space="preserve">используется WildFly 14 с Java 8.</w:t>
      </w:r>
    </w:p>
    <w:p>
      <w:pPr>
        <w:pStyle w:val="Compact"/>
      </w:pPr>
      <w:r>
        <w:drawing>
          <wp:inline>
            <wp:extent cx="5334000" cy="4032693"/>
            <wp:effectExtent b="0" l="0" r="0" t="0"/>
            <wp:docPr descr="../_images/image_0.png" title="" id="1" name="Picture"/>
            <a:graphic>
              <a:graphicData uri="http://schemas.openxmlformats.org/drawingml/2006/picture">
                <pic:pic>
                  <pic:nvPicPr>
                    <pic:cNvPr descr="_images/image_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2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подробным описанием WildFly 14 можно ознакомиться в</w:t>
      </w:r>
      <w:r>
        <w:t xml:space="preserve"> </w:t>
      </w:r>
      <w:hyperlink r:id="rId86">
        <w:r>
          <w:rPr>
            <w:rStyle w:val="Hyperlink"/>
          </w:rPr>
          <w:t xml:space="preserve">официальной документации</w:t>
        </w:r>
      </w:hyperlink>
      <w:r>
        <w:t xml:space="preserve"> </w:t>
      </w:r>
      <w:r>
        <w:t xml:space="preserve">[http://wildfly.org/news/2018/08/30/WildFly14-Final-Released/]</w:t>
      </w:r>
      <w:r>
        <w:t xml:space="preserve">. Здесь приведем краткое описание</w:t>
      </w:r>
      <w:r>
        <w:t xml:space="preserve"> </w:t>
      </w:r>
      <w:r>
        <w:t xml:space="preserve">изменений, которые непосредственно влияют на процесс работы с Synergy:</w:t>
      </w:r>
    </w:p>
    <w:p>
      <w:pPr>
        <w:numPr>
          <w:numId w:val="1026"/>
          <w:ilvl w:val="0"/>
        </w:numPr>
      </w:pPr>
      <w:r>
        <w:t xml:space="preserve">WildFly более строго следит за стартом подсистем. В частности, если hostname машины, где запускается WildFly,</w:t>
      </w:r>
      <w:r>
        <w:t xml:space="preserve"> </w:t>
      </w:r>
      <w:r>
        <w:t xml:space="preserve">не опознан, то не запустится подсистема веб-сервисов, и загрузка приложений остановится. Чтобы это исправить,</w:t>
      </w:r>
      <w:r>
        <w:t xml:space="preserve"> </w:t>
      </w:r>
      <w:r>
        <w:t xml:space="preserve">нужно прописать имя хоста в файле</w:t>
      </w:r>
      <w:r>
        <w:t xml:space="preserve"> </w:t>
      </w:r>
      <w:r>
        <w:rPr>
          <w:rStyle w:val="VerbatimChar"/>
        </w:rPr>
        <w:t xml:space="preserve">/etc/hosts</w:t>
      </w:r>
      <w:r>
        <w:t xml:space="preserve">, например, с помощью такой команды: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echo "127.0.0.1    $(hostname)" &gt;&gt; /etc/hosts</w:t>
      </w:r>
    </w:p>
    <w:p>
      <w:pPr>
        <w:numPr>
          <w:numId w:val="1000"/>
          <w:ilvl w:val="0"/>
        </w:numPr>
      </w:pPr>
      <w:r>
        <w:t xml:space="preserve">Вместо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можно указать внешний ip-адрес сервера.</w:t>
      </w:r>
    </w:p>
    <w:p>
      <w:pPr>
        <w:numPr>
          <w:numId w:val="1026"/>
          <w:ilvl w:val="0"/>
        </w:numPr>
      </w:pPr>
      <w:r>
        <w:t xml:space="preserve">Конфигурационный файл</w:t>
      </w:r>
      <w:r>
        <w:t xml:space="preserve"> </w:t>
      </w:r>
      <w:r>
        <w:rPr>
          <w:rStyle w:val="VerbatimChar"/>
        </w:rPr>
        <w:t xml:space="preserve">standalone-onesynergy.xml</w:t>
      </w:r>
      <w:r>
        <w:t xml:space="preserve"> </w:t>
      </w:r>
      <w:r>
        <w:t xml:space="preserve">содержит большие изменения, связанные с изменением названий и</w:t>
      </w:r>
      <w:r>
        <w:t xml:space="preserve"> </w:t>
      </w:r>
      <w:r>
        <w:t xml:space="preserve">состава подсистем сервера приложений. Если в вашем старом конфигурационном файле</w:t>
      </w:r>
      <w:r>
        <w:t xml:space="preserve"> </w:t>
      </w:r>
      <w:r>
        <w:rPr>
          <w:rStyle w:val="VerbatimChar"/>
        </w:rPr>
        <w:t xml:space="preserve">standalone-onesynergy.xml</w:t>
      </w:r>
      <w:r>
        <w:t xml:space="preserve"> </w:t>
      </w:r>
      <w:r>
        <w:t xml:space="preserve">не</w:t>
      </w:r>
      <w:r>
        <w:t xml:space="preserve"> </w:t>
      </w:r>
      <w:r>
        <w:t xml:space="preserve">имелось каких-либо собственных изменений (например, добавления очередей, источников данных и прочего), необходимо</w:t>
      </w:r>
      <w:r>
        <w:t xml:space="preserve"> </w:t>
      </w:r>
      <w:r>
        <w:t xml:space="preserve">отвечать</w:t>
      </w:r>
      <w:r>
        <w:t xml:space="preserve"> </w:t>
      </w:r>
      <w:r>
        <w:rPr>
          <w:rStyle w:val="VerbatimChar"/>
        </w:rPr>
        <w:t xml:space="preserve">Да</w:t>
      </w:r>
      <w:r>
        <w:t xml:space="preserve"> </w:t>
      </w:r>
      <w:r>
        <w:t xml:space="preserve">на запрос об изменении этого конфигурационного файла при обновлении.</w:t>
      </w:r>
    </w:p>
    <w:p>
      <w:pPr>
        <w:numPr>
          <w:numId w:val="1000"/>
          <w:ilvl w:val="0"/>
        </w:numPr>
      </w:pPr>
      <w:r>
        <w:t xml:space="preserve">Подсказка</w:t>
      </w:r>
    </w:p>
    <w:p>
      <w:pPr>
        <w:numPr>
          <w:numId w:val="1000"/>
          <w:ilvl w:val="0"/>
        </w:numPr>
      </w:pPr>
      <w:r>
        <w:t xml:space="preserve">Если у вас имеются собственные изменения, необходимо сделать резервную копию</w:t>
      </w:r>
      <w:r>
        <w:t xml:space="preserve"> </w:t>
      </w:r>
      <w:r>
        <w:rPr>
          <w:rStyle w:val="VerbatimChar"/>
        </w:rPr>
        <w:t xml:space="preserve">standalone-onesynergy.xml</w:t>
      </w:r>
      <w:r>
        <w:t xml:space="preserve">,</w:t>
      </w:r>
      <w:r>
        <w:t xml:space="preserve"> </w:t>
      </w:r>
      <w:r>
        <w:t xml:space="preserve">заменить ваш конфигурационный файл на тот, что поставляется с пакетом (то есть, опять же, ответить</w:t>
      </w:r>
      <w:r>
        <w:t xml:space="preserve"> </w:t>
      </w:r>
      <w:r>
        <w:rPr>
          <w:rStyle w:val="VerbatimChar"/>
        </w:rPr>
        <w:t xml:space="preserve">Да</w:t>
      </w:r>
      <w:r>
        <w:t xml:space="preserve"> </w:t>
      </w:r>
      <w:r>
        <w:t xml:space="preserve">на вопрос об изменении файла) и, внимательно изучив различия старой и новой конфигураций (например, используя</w:t>
      </w:r>
      <w:r>
        <w:t xml:space="preserve"> </w:t>
      </w:r>
      <w:r>
        <w:rPr>
          <w:rStyle w:val="VerbatimChar"/>
        </w:rPr>
        <w:t xml:space="preserve">diff</w:t>
      </w:r>
      <w:r>
        <w:t xml:space="preserve"> </w:t>
      </w:r>
      <w:r>
        <w:t xml:space="preserve">или его варианты), произвести необходимые изменения в новой версии конфигурационного файла.</w:t>
      </w:r>
    </w:p>
    <w:p>
      <w:pPr>
        <w:numPr>
          <w:numId w:val="1026"/>
          <w:ilvl w:val="0"/>
        </w:numPr>
      </w:pPr>
      <w:r>
        <w:t xml:space="preserve">Состав пакетов</w:t>
      </w:r>
      <w:r>
        <w:t xml:space="preserve"> </w:t>
      </w:r>
      <w:r>
        <w:rPr>
          <w:rStyle w:val="VerbatimChar"/>
        </w:rPr>
        <w:t xml:space="preserve">arta-synergy-*</w:t>
      </w:r>
      <w:r>
        <w:t xml:space="preserve"> </w:t>
      </w:r>
      <w:r>
        <w:t xml:space="preserve">значительно сокращен:</w:t>
      </w:r>
    </w:p>
    <w:p>
      <w:pPr>
        <w:pStyle w:val="BlockText"/>
        <w:numPr>
          <w:numId w:val="1027"/>
          <w:ilvl w:val="1"/>
        </w:numPr>
      </w:pPr>
      <w:r>
        <w:rPr>
          <w:rStyle w:val="VerbatimChar"/>
        </w:rPr>
        <w:t xml:space="preserve">arta-synergy-jboss</w:t>
      </w:r>
      <w:r>
        <w:t xml:space="preserve"> </w:t>
      </w:r>
      <w:r>
        <w:t xml:space="preserve">- пакет, содержащий сервер приложений WildFly</w:t>
      </w:r>
    </w:p>
    <w:p>
      <w:pPr>
        <w:pStyle w:val="BlockText"/>
        <w:numPr>
          <w:numId w:val="1027"/>
          <w:ilvl w:val="1"/>
        </w:numPr>
      </w:pPr>
      <w:r>
        <w:rPr>
          <w:rStyle w:val="VerbatimChar"/>
        </w:rPr>
        <w:t xml:space="preserve">arta-synergy-asforms</w:t>
      </w:r>
      <w:r>
        <w:t xml:space="preserve"> </w:t>
      </w:r>
      <w:r>
        <w:t xml:space="preserve">- описание форм Synergy</w:t>
      </w:r>
    </w:p>
    <w:p>
      <w:pPr>
        <w:pStyle w:val="BlockText"/>
        <w:numPr>
          <w:numId w:val="1027"/>
          <w:ilvl w:val="1"/>
        </w:numPr>
      </w:pPr>
      <w:r>
        <w:rPr>
          <w:rStyle w:val="VerbatimChar"/>
        </w:rPr>
        <w:t xml:space="preserve">arta-synergy-deps-jackrabbit</w:t>
      </w:r>
      <w:r>
        <w:t xml:space="preserve"> </w:t>
      </w:r>
      <w:r>
        <w:t xml:space="preserve">- адаптер для хранилища Jackrabbit; как и прежде, может быть заменен на</w:t>
      </w:r>
      <w:r>
        <w:t xml:space="preserve"> </w:t>
      </w:r>
      <w:r>
        <w:rPr>
          <w:rStyle w:val="VerbatimChar"/>
        </w:rPr>
        <w:t xml:space="preserve">arta-synergy-jcrmigrator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arta-synergy-jcr4c</w:t>
      </w:r>
    </w:p>
    <w:p>
      <w:pPr>
        <w:pStyle w:val="BlockText"/>
        <w:numPr>
          <w:numId w:val="1027"/>
          <w:ilvl w:val="1"/>
        </w:numPr>
      </w:pPr>
      <w:r>
        <w:rPr>
          <w:rStyle w:val="VerbatimChar"/>
        </w:rPr>
        <w:t xml:space="preserve">arta-synergy-esb</w:t>
      </w:r>
      <w:r>
        <w:t xml:space="preserve"> </w:t>
      </w:r>
      <w:r>
        <w:t xml:space="preserve">- объединенный пакет, содержащий шину событий Synergy и индексатор</w:t>
      </w:r>
    </w:p>
    <w:p>
      <w:pPr>
        <w:pStyle w:val="BlockText"/>
        <w:numPr>
          <w:numId w:val="1027"/>
          <w:ilvl w:val="1"/>
        </w:numPr>
      </w:pPr>
      <w:r>
        <w:rPr>
          <w:rStyle w:val="VerbatimChar"/>
        </w:rPr>
        <w:t xml:space="preserve">arta-synergy-synergy</w:t>
      </w:r>
      <w:r>
        <w:t xml:space="preserve"> </w:t>
      </w:r>
      <w:r>
        <w:t xml:space="preserve">- пакет с Synergy и всеми необходимыми библиотеками (которые ранее жили в пакете</w:t>
      </w:r>
      <w:r>
        <w:t xml:space="preserve"> </w:t>
      </w:r>
      <w:r>
        <w:rPr>
          <w:rStyle w:val="VerbatimChar"/>
        </w:rPr>
        <w:t xml:space="preserve">arta-synergy-deps*</w:t>
      </w:r>
      <w:r>
        <w:t xml:space="preserve">)</w:t>
      </w:r>
    </w:p>
    <w:p>
      <w:pPr>
        <w:pStyle w:val="BlockText"/>
        <w:numPr>
          <w:numId w:val="1027"/>
          <w:ilvl w:val="1"/>
        </w:numPr>
      </w:pPr>
      <w:r>
        <w:rPr>
          <w:rStyle w:val="VerbatimChar"/>
        </w:rPr>
        <w:t xml:space="preserve">arta-synergy-utils</w:t>
      </w:r>
      <w:r>
        <w:t xml:space="preserve"> </w:t>
      </w:r>
      <w:r>
        <w:t xml:space="preserve">- некоторые вспомогательные утилиты</w:t>
      </w:r>
    </w:p>
    <w:bookmarkStart w:id="90" w:name="tech_stack.xhtml#id3"/>
    <w:p>
      <w:pPr>
        <w:pStyle w:val="Heading3"/>
      </w:pPr>
      <w:r>
        <w:t xml:space="preserve">3.1.1. Инструкция по исправлению ошибок, возникших после обновления</w:t>
      </w:r>
    </w:p>
    <w:bookmarkStart w:id="87" w:name="tech_stack.xhtml#id4"/>
    <w:p>
      <w:pPr>
        <w:pStyle w:val="Heading4"/>
      </w:pPr>
      <w:r>
        <w:t xml:space="preserve">3.1.1.1. Восстановление работы внешних модулей</w:t>
      </w:r>
    </w:p>
    <w:p>
      <w:pPr>
        <w:numPr>
          <w:numId w:val="1028"/>
          <w:ilvl w:val="0"/>
        </w:numPr>
      </w:pPr>
      <w:r>
        <w:t xml:space="preserve">В зависимостях на библиотеки</w:t>
      </w:r>
    </w:p>
    <w:p>
      <w:pPr>
        <w:numPr>
          <w:numId w:val="1029"/>
          <w:ilvl w:val="1"/>
        </w:numPr>
      </w:pPr>
      <w:r>
        <w:rPr>
          <w:rStyle w:val="VerbatimChar"/>
        </w:rPr>
        <w:t xml:space="preserve">compile(group: 'com.google.guava', name: 'guava', version: '14.0.1', transitive: false)</w:t>
      </w:r>
    </w:p>
    <w:p>
      <w:pPr>
        <w:numPr>
          <w:numId w:val="1029"/>
          <w:ilvl w:val="1"/>
        </w:numPr>
      </w:pPr>
      <w:r>
        <w:rPr>
          <w:rStyle w:val="VerbatimChar"/>
        </w:rPr>
        <w:t xml:space="preserve">compile(group: 'org.slf4j', name: 'slf4j-api', version: '1.6.1', transitive: false)</w:t>
      </w:r>
    </w:p>
    <w:p>
      <w:pPr>
        <w:numPr>
          <w:numId w:val="1029"/>
          <w:ilvl w:val="1"/>
        </w:numPr>
      </w:pPr>
      <w:r>
        <w:rPr>
          <w:rStyle w:val="VerbatimChar"/>
        </w:rPr>
        <w:t xml:space="preserve">compile ('org.jboss.spec:jboss-javaee-6.0:3.0.3.Final')</w:t>
      </w:r>
    </w:p>
    <w:p>
      <w:pPr>
        <w:numPr>
          <w:numId w:val="1029"/>
          <w:ilvl w:val="1"/>
        </w:numPr>
      </w:pPr>
      <w:r>
        <w:rPr>
          <w:rStyle w:val="VerbatimChar"/>
        </w:rPr>
        <w:t xml:space="preserve">compile "org.codehaus.jackson:jackson-mapper-asl:1.9.13"</w:t>
      </w:r>
    </w:p>
    <w:p>
      <w:pPr>
        <w:numPr>
          <w:numId w:val="1029"/>
          <w:ilvl w:val="1"/>
        </w:numPr>
      </w:pPr>
      <w:r>
        <w:rPr>
          <w:rStyle w:val="VerbatimChar"/>
        </w:rPr>
        <w:t xml:space="preserve">compile "org.codehaus.jackson:jackson-core-asl:1.9.13"</w:t>
      </w:r>
    </w:p>
    <w:p>
      <w:pPr>
        <w:numPr>
          <w:numId w:val="1000"/>
          <w:ilvl w:val="0"/>
        </w:numPr>
      </w:pPr>
      <w:r>
        <w:t xml:space="preserve">прописать новые версии:</w:t>
      </w:r>
    </w:p>
    <w:p>
      <w:pPr>
        <w:numPr>
          <w:numId w:val="1030"/>
          <w:ilvl w:val="1"/>
        </w:numPr>
      </w:pPr>
      <w:r>
        <w:rPr>
          <w:rStyle w:val="VerbatimChar"/>
        </w:rPr>
        <w:t xml:space="preserve">compile(group: 'com.google.guava', name: 'guava', version: '18.0', transitive: false)</w:t>
      </w:r>
    </w:p>
    <w:p>
      <w:pPr>
        <w:numPr>
          <w:numId w:val="1030"/>
          <w:ilvl w:val="1"/>
        </w:numPr>
      </w:pPr>
      <w:r>
        <w:rPr>
          <w:rStyle w:val="VerbatimChar"/>
        </w:rPr>
        <w:t xml:space="preserve">compile(group: 'org.slf4j', name: 'slf4j-api', version: '1.7.25', transitive: false)</w:t>
      </w:r>
    </w:p>
    <w:p>
      <w:pPr>
        <w:numPr>
          <w:numId w:val="1030"/>
          <w:ilvl w:val="1"/>
        </w:numPr>
      </w:pPr>
      <w:r>
        <w:rPr>
          <w:rStyle w:val="VerbatimChar"/>
        </w:rPr>
        <w:t xml:space="preserve">compile ('org.jboss.spec:jboss-javaee-7.0:1.1.1.Final')</w:t>
      </w:r>
    </w:p>
    <w:p>
      <w:pPr>
        <w:numPr>
          <w:numId w:val="1030"/>
          <w:ilvl w:val="1"/>
        </w:numPr>
      </w:pPr>
      <w:r>
        <w:rPr>
          <w:rStyle w:val="VerbatimChar"/>
        </w:rPr>
        <w:t xml:space="preserve">compile "org.codehaus.jackson:jackson-mapper-asl:1.9.2"</w:t>
      </w:r>
    </w:p>
    <w:p>
      <w:pPr>
        <w:numPr>
          <w:numId w:val="1030"/>
          <w:ilvl w:val="1"/>
        </w:numPr>
      </w:pPr>
      <w:r>
        <w:rPr>
          <w:rStyle w:val="VerbatimChar"/>
        </w:rPr>
        <w:t xml:space="preserve">compile "org.codehaus.jackson:jackson-core-asl:1.9.2"</w:t>
      </w:r>
    </w:p>
    <w:p>
      <w:pPr>
        <w:numPr>
          <w:numId w:val="1000"/>
          <w:ilvl w:val="0"/>
        </w:numPr>
      </w:pPr>
      <w:r>
        <w:t xml:space="preserve">Версии для</w:t>
      </w:r>
      <w:r>
        <w:t xml:space="preserve"> </w:t>
      </w:r>
      <w:r>
        <w:rPr>
          <w:rStyle w:val="VerbatimChar"/>
        </w:rPr>
        <w:t xml:space="preserve">asf-common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util-common</w:t>
      </w:r>
      <w:r>
        <w:t xml:space="preserve"> </w:t>
      </w:r>
      <w:r>
        <w:t xml:space="preserve">прописать 4.1:</w:t>
      </w:r>
    </w:p>
    <w:p>
      <w:pPr>
        <w:numPr>
          <w:numId w:val="1031"/>
          <w:ilvl w:val="1"/>
        </w:numPr>
      </w:pPr>
      <w:r>
        <w:rPr>
          <w:rStyle w:val="VerbatimChar"/>
        </w:rPr>
        <w:t xml:space="preserve">compile(group: 'kz.arta', name: 'asf-common', version: '4.1')</w:t>
      </w:r>
    </w:p>
    <w:p>
      <w:pPr>
        <w:numPr>
          <w:numId w:val="1031"/>
          <w:ilvl w:val="1"/>
        </w:numPr>
      </w:pPr>
      <w:r>
        <w:rPr>
          <w:rStyle w:val="VerbatimChar"/>
        </w:rPr>
        <w:t xml:space="preserve">compile(group: 'kz.arta', name: 'util-common', version: '4.1')</w:t>
      </w:r>
    </w:p>
    <w:p>
      <w:pPr>
        <w:pStyle w:val="FirstParagraph"/>
      </w:pPr>
      <w:r>
        <w:t xml:space="preserve">2. Чтобы приложение деплоилось после деплоя Synergy.ear, необходимо добавить файл</w:t>
      </w:r>
      <w:r>
        <w:t xml:space="preserve"> </w:t>
      </w:r>
      <w:r>
        <w:rPr>
          <w:rStyle w:val="VerbatimChar"/>
        </w:rPr>
        <w:t xml:space="preserve">jboss-all.xml</w:t>
      </w:r>
      <w:r>
        <w:t xml:space="preserve"> </w:t>
      </w:r>
      <w:r>
        <w:t xml:space="preserve">в WEB-INF с содержимым:</w:t>
      </w:r>
    </w:p>
    <w:p>
      <w:pPr>
        <w:pStyle w:val="SourceCode"/>
        <w:pStyle w:val="BlockText"/>
      </w:pPr>
      <w:r>
        <w:rPr>
          <w:rStyle w:val="VerbatimChar"/>
        </w:rPr>
        <w:t xml:space="preserve">&lt;jboss umlns="urn:jboss:1.0"&gt;</w:t>
      </w:r>
      <w:r>
        <w:br w:type="textWrapping"/>
      </w:r>
      <w:r>
        <w:rPr>
          <w:rStyle w:val="VerbatimChar"/>
        </w:rPr>
        <w:t xml:space="preserve">    &lt;jboss-deployment-dependencies xmlns="urn:jboss:deployment-dependencies:1.0"&gt;</w:t>
      </w:r>
      <w:r>
        <w:br w:type="textWrapping"/>
      </w:r>
      <w:r>
        <w:rPr>
          <w:rStyle w:val="VerbatimChar"/>
        </w:rPr>
        <w:t xml:space="preserve">        &lt;dependency name="Synergy.ear" /&gt;</w:t>
      </w:r>
      <w:r>
        <w:br w:type="textWrapping"/>
      </w:r>
      <w:r>
        <w:rPr>
          <w:rStyle w:val="VerbatimChar"/>
        </w:rPr>
        <w:t xml:space="preserve">    &lt;/jboss-deployment-dependencies&gt;</w:t>
      </w:r>
      <w:r>
        <w:br w:type="textWrapping"/>
      </w:r>
      <w:r>
        <w:rPr>
          <w:rStyle w:val="VerbatimChar"/>
        </w:rPr>
        <w:t xml:space="preserve">&lt;/jboss&gt;</w:t>
      </w:r>
    </w:p>
    <w:p>
      <w:pPr>
        <w:numPr>
          <w:numId w:val="1032"/>
          <w:ilvl w:val="0"/>
        </w:numPr>
      </w:pPr>
      <w:r>
        <w:t xml:space="preserve">При вызове методов API Synergy в PostConstruct методах в WildFly может возникнуть ошибка: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WFLYCTL0348: Timeout after [300] seconds waiting for service container stability. Operation will roll back. Step that first updated t</w:t>
      </w:r>
      <w:r>
        <w:br w:type="textWrapping"/>
      </w:r>
      <w:r>
        <w:rPr>
          <w:rStyle w:val="VerbatimChar"/>
        </w:rPr>
        <w:t xml:space="preserve">he service container was 'add' at address '[</w:t>
      </w:r>
      <w:r>
        <w:br w:type="textWrapping"/>
      </w:r>
      <w:r>
        <w:rPr>
          <w:rStyle w:val="VerbatimChar"/>
        </w:rPr>
        <w:t xml:space="preserve">    ("core-service" =&gt; "management"),</w:t>
      </w:r>
      <w:r>
        <w:br w:type="textWrapping"/>
      </w:r>
      <w:r>
        <w:rPr>
          <w:rStyle w:val="VerbatimChar"/>
        </w:rPr>
        <w:t xml:space="preserve">    ("management-interface" =&gt; "native-interface")</w:t>
      </w:r>
      <w:r>
        <w:br w:type="textWrapping"/>
      </w:r>
      <w:r>
        <w:rPr>
          <w:rStyle w:val="VerbatimChar"/>
        </w:rPr>
        <w:t xml:space="preserve">]'</w:t>
      </w:r>
    </w:p>
    <w:p>
      <w:pPr>
        <w:numPr>
          <w:numId w:val="1000"/>
          <w:ilvl w:val="0"/>
        </w:numPr>
      </w:pPr>
      <w:r>
        <w:t xml:space="preserve">Если ошибка будет воспроизводится на вашем стенде Synery, то в качестве обходного варианта решения</w:t>
      </w:r>
      <w:r>
        <w:t xml:space="preserve"> </w:t>
      </w:r>
      <w:r>
        <w:t xml:space="preserve">предлагаем вынести обращения к методам API в таймер, который будет запускаться в PostConstruct методе</w:t>
      </w:r>
      <w:r>
        <w:t xml:space="preserve"> </w:t>
      </w:r>
      <w:r>
        <w:t xml:space="preserve">с задержкой 2 минуты. Если вы найдете более элегантное решение, просим сообщить в команду Core Team.</w:t>
      </w:r>
    </w:p>
    <w:p>
      <w:pPr>
        <w:numPr>
          <w:numId w:val="1032"/>
          <w:ilvl w:val="0"/>
        </w:numPr>
      </w:pPr>
      <w:r>
        <w:t xml:space="preserve">Если вы используете resteasy его необходимо прописать через providedCompile: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providedCompile(group: 'org.jboss.resteasy', name: 'resteasy-jaxrs', version: '3.8.0.Final')</w:t>
      </w:r>
      <w:r>
        <w:br w:type="textWrapping"/>
      </w:r>
      <w:r>
        <w:rPr>
          <w:rStyle w:val="VerbatimChar"/>
        </w:rPr>
        <w:t xml:space="preserve">providedCompile(group: 'org.jboss.resteasy', name: 'resteasy-multipart-provider', version: '3.8.0.Final')</w:t>
      </w:r>
    </w:p>
    <w:bookmarkEnd w:id="87"/>
    <w:bookmarkStart w:id="88" w:name="tech_stack.xhtml#id5"/>
    <w:p>
      <w:pPr>
        <w:pStyle w:val="Heading4"/>
      </w:pPr>
      <w:r>
        <w:t xml:space="preserve">3.1.1.2. Новый формат очередей</w:t>
      </w:r>
    </w:p>
    <w:p>
      <w:pPr>
        <w:pStyle w:val="FirstParagraph"/>
      </w:pPr>
      <w:r>
        <w:t xml:space="preserve">Wildfly интегрирован с Apache ActiveMQ Artemis, поэтому в случае наличия на стенде Synergy</w:t>
      </w:r>
      <w:r>
        <w:t xml:space="preserve"> </w:t>
      </w:r>
      <w:r>
        <w:t xml:space="preserve">кастомных очередей необходимо поменять их формат (в файле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).</w:t>
      </w:r>
    </w:p>
    <w:p>
      <w:pPr>
        <w:pStyle w:val="BodyText"/>
      </w:pPr>
      <w:r>
        <w:t xml:space="preserve">Очереди теперь прописываются в разделе</w:t>
      </w:r>
      <w:r>
        <w:t xml:space="preserve"> </w:t>
      </w:r>
      <w:r>
        <w:rPr>
          <w:rStyle w:val="VerbatimChar"/>
        </w:rPr>
        <w:t xml:space="preserve">&lt;subsystem xmlns="urn:jboss:domain:messaging-activemq:3.0"&gt;</w:t>
      </w:r>
      <w:r>
        <w:t xml:space="preserve"> </w:t>
      </w:r>
      <w:r>
        <w:t xml:space="preserve">в формате:</w:t>
      </w:r>
    </w:p>
    <w:p>
      <w:pPr>
        <w:pStyle w:val="SourceCode"/>
      </w:pPr>
      <w:r>
        <w:rPr>
          <w:rStyle w:val="VerbatimChar"/>
        </w:rPr>
        <w:t xml:space="preserve">&lt;jms-queue name="ItsmBlockingQueue" entries="queue/ItsmBlockingQueue java:jboss/queues/Integration/ItsmBlockingQueue" durable="true"/&gt;</w:t>
      </w:r>
    </w:p>
    <w:bookmarkEnd w:id="88"/>
    <w:bookmarkStart w:id="89" w:name="tech_stack.xhtml#id6"/>
    <w:p>
      <w:pPr>
        <w:pStyle w:val="Heading4"/>
      </w:pPr>
      <w:r>
        <w:t xml:space="preserve">3.1.1.3. Изменения в скриптах интерпретатора</w:t>
      </w:r>
    </w:p>
    <w:p>
      <w:pPr>
        <w:pStyle w:val="FirstParagraph"/>
      </w:pPr>
      <w:r>
        <w:t xml:space="preserve">Скрипты, содержащие строки со</w:t>
      </w:r>
      <w:r>
        <w:t xml:space="preserve"> </w:t>
      </w:r>
      <w:r>
        <w:rPr>
          <w:rStyle w:val="VerbatimChar"/>
        </w:rPr>
        <w:t xml:space="preserve">splice</w:t>
      </w:r>
      <w:r>
        <w:t xml:space="preserve">, на Java8 отрабатывают некорректно:</w:t>
      </w:r>
    </w:p>
    <w:p>
      <w:pPr>
        <w:pStyle w:val="BodyText"/>
      </w:pPr>
      <w:r>
        <w:rPr>
          <w:rStyle w:val="VerbatimChar"/>
        </w:rPr>
        <w:t xml:space="preserve">Array.prototype.splice.call(arguments, 0);</w:t>
      </w:r>
    </w:p>
    <w:p>
      <w:pPr>
        <w:pStyle w:val="BodyText"/>
      </w:pPr>
      <w:r>
        <w:t xml:space="preserve">Необходимо заменить такую строку на следующую:</w:t>
      </w:r>
    </w:p>
    <w:p>
      <w:pPr>
        <w:pStyle w:val="BodyText"/>
      </w:pPr>
      <w:r>
        <w:rPr>
          <w:rStyle w:val="VerbatimChar"/>
        </w:rPr>
        <w:t xml:space="preserve">var args = Array.prototype.slice.call(arguments);</w:t>
      </w:r>
    </w:p>
    <w:p>
      <w:pPr>
        <w:pStyle w:val="BodyText"/>
      </w:pPr>
      <w:r>
        <w:t xml:space="preserve">Предположим, что скрипт интерпретатора содержал такой код:</w:t>
      </w:r>
    </w:p>
    <w:p>
      <w:pPr>
        <w:pStyle w:val="SourceCode"/>
      </w:pPr>
      <w:r>
        <w:rPr>
          <w:rStyle w:val="VerbatimChar"/>
        </w:rPr>
        <w:t xml:space="preserve">getValue: function(){</w:t>
      </w:r>
      <w:r>
        <w:br w:type="textWrapping"/>
      </w:r>
      <w:r>
        <w:rPr>
          <w:rStyle w:val="VerbatimChar"/>
        </w:rPr>
        <w:t xml:space="preserve">    Array.prototype.splice.call(arguments, 0);</w:t>
      </w:r>
      <w:r>
        <w:br w:type="textWrapping"/>
      </w:r>
      <w:r>
        <w:rPr>
          <w:rStyle w:val="VerbatimChar"/>
        </w:rPr>
        <w:t xml:space="preserve">    args.push(__SERVER);</w:t>
      </w:r>
      <w:r>
        <w:br w:type="textWrapping"/>
      </w:r>
      <w:r>
        <w:rPr>
          <w:rStyle w:val="VerbatimChar"/>
        </w:rPr>
        <w:t xml:space="preserve">    return __CLIENT__.getValue.apply(null, args);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setValue: function(){</w:t>
      </w:r>
      <w:r>
        <w:br w:type="textWrapping"/>
      </w:r>
      <w:r>
        <w:rPr>
          <w:rStyle w:val="VerbatimChar"/>
        </w:rPr>
        <w:t xml:space="preserve">    Array.prototype.splice.call(arguments, 0);</w:t>
      </w:r>
      <w:r>
        <w:br w:type="textWrapping"/>
      </w:r>
      <w:r>
        <w:rPr>
          <w:rStyle w:val="VerbatimChar"/>
        </w:rPr>
        <w:t xml:space="preserve">    args.push(__SERVER);</w:t>
      </w:r>
      <w:r>
        <w:br w:type="textWrapping"/>
      </w:r>
      <w:r>
        <w:rPr>
          <w:rStyle w:val="VerbatimChar"/>
        </w:rPr>
        <w:t xml:space="preserve">    return __CLIENT__.setValue.apply(null, args);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Исправленный вариант этого кода выглядит так:</w:t>
      </w:r>
    </w:p>
    <w:p>
      <w:pPr>
        <w:pStyle w:val="SourceCode"/>
      </w:pPr>
      <w:r>
        <w:rPr>
          <w:rStyle w:val="VerbatimChar"/>
        </w:rPr>
        <w:t xml:space="preserve">getValue: function(){</w:t>
      </w:r>
      <w:r>
        <w:br w:type="textWrapping"/>
      </w:r>
      <w:r>
        <w:rPr>
          <w:rStyle w:val="VerbatimChar"/>
        </w:rPr>
        <w:t xml:space="preserve">    var args = Array.prototype.slice.call(arguments);</w:t>
      </w:r>
      <w:r>
        <w:br w:type="textWrapping"/>
      </w:r>
      <w:r>
        <w:rPr>
          <w:rStyle w:val="VerbatimChar"/>
        </w:rPr>
        <w:t xml:space="preserve">    args.push(__SERVER);</w:t>
      </w:r>
      <w:r>
        <w:br w:type="textWrapping"/>
      </w:r>
      <w:r>
        <w:rPr>
          <w:rStyle w:val="VerbatimChar"/>
        </w:rPr>
        <w:t xml:space="preserve">    return __CLIENT__.getValue.apply(null, arguments);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setValue: function(){</w:t>
      </w:r>
      <w:r>
        <w:br w:type="textWrapping"/>
      </w:r>
      <w:r>
        <w:rPr>
          <w:rStyle w:val="VerbatimChar"/>
        </w:rPr>
        <w:t xml:space="preserve">    var args = Array.prototype.slice.call(arguments);</w:t>
      </w:r>
      <w:r>
        <w:br w:type="textWrapping"/>
      </w:r>
      <w:r>
        <w:rPr>
          <w:rStyle w:val="VerbatimChar"/>
        </w:rPr>
        <w:t xml:space="preserve">    args.push(__SERVER);</w:t>
      </w:r>
      <w:r>
        <w:br w:type="textWrapping"/>
      </w:r>
      <w:r>
        <w:rPr>
          <w:rStyle w:val="VerbatimChar"/>
        </w:rPr>
        <w:t xml:space="preserve">    return __CLIENT__.setValue.apply(null, args);</w:t>
      </w:r>
      <w:r>
        <w:br w:type="textWrapping"/>
      </w:r>
      <w:r>
        <w:rPr>
          <w:rStyle w:val="VerbatimChar"/>
        </w:rPr>
        <w:t xml:space="preserve">}</w:t>
      </w:r>
    </w:p>
    <w:bookmarkEnd w:id="89"/>
    <w:bookmarkEnd w:id="90"/>
    <w:bookmarkEnd w:id="91"/>
    <w:bookmarkStart w:id="94" w:name="tech_stack.xhtml#lucene"/>
    <w:p>
      <w:pPr>
        <w:pStyle w:val="Heading2"/>
      </w:pPr>
      <w:r>
        <w:t xml:space="preserve">3.2. Обновление Lucene</w:t>
      </w:r>
    </w:p>
    <w:p>
      <w:pPr>
        <w:pStyle w:val="FirstParagraph"/>
      </w:pPr>
      <w:r>
        <w:t xml:space="preserve">До версии Synergy 4.0 включительно в качестве индексатора форм, файлов и документов использовался Lucene версии 3.6.2.</w:t>
      </w:r>
    </w:p>
    <w:p>
      <w:pPr>
        <w:pStyle w:val="BodyText"/>
      </w:pPr>
      <w:r>
        <w:t xml:space="preserve">В версии Synergy 4.1 используемая версия индексатора была обновлена до 7.3.1. При этом актуальная версия Lucene может не</w:t>
      </w:r>
      <w:r>
        <w:t xml:space="preserve"> </w:t>
      </w:r>
      <w:r>
        <w:t xml:space="preserve">поддерживать некоторые индексы, созданные в предыдущих версиях, и это не является ошибкой Synergy.</w:t>
      </w:r>
    </w:p>
    <w:bookmarkStart w:id="92" w:name="tech_stack.xhtml#id7"/>
    <w:p>
      <w:pPr>
        <w:pStyle w:val="Heading3"/>
      </w:pPr>
      <w:r>
        <w:t xml:space="preserve">3.2.1. Утилита для обновления индексов</w:t>
      </w:r>
    </w:p>
    <w:p>
      <w:pPr>
        <w:pStyle w:val="FirstParagraph"/>
      </w:pPr>
      <w:r>
        <w:t xml:space="preserve">Пакет</w:t>
      </w:r>
      <w:r>
        <w:t xml:space="preserve"> </w:t>
      </w:r>
      <w:r>
        <w:rPr>
          <w:rStyle w:val="VerbatimChar"/>
        </w:rPr>
        <w:t xml:space="preserve">arta-synergy-utils</w:t>
      </w:r>
      <w:r>
        <w:t xml:space="preserve"> </w:t>
      </w:r>
      <w:r>
        <w:t xml:space="preserve">содержит утилиту для апгрейда индексов Lucene до версии 7. Чтобы ее использовать, нужно:</w:t>
      </w:r>
    </w:p>
    <w:p>
      <w:pPr>
        <w:numPr>
          <w:numId w:val="1033"/>
          <w:ilvl w:val="0"/>
        </w:numPr>
      </w:pPr>
      <w:r>
        <w:t xml:space="preserve">остановить</w:t>
      </w:r>
      <w:r>
        <w:t xml:space="preserve"> </w:t>
      </w:r>
      <w:r>
        <w:rPr>
          <w:rStyle w:val="VerbatimChar"/>
        </w:rPr>
        <w:t xml:space="preserve">jboss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</w:p>
    <w:p>
      <w:pPr>
        <w:numPr>
          <w:numId w:val="1033"/>
          <w:ilvl w:val="0"/>
        </w:numPr>
      </w:pPr>
      <w:r>
        <w:t xml:space="preserve">вызвать команду: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/opt/synergy/utils/lucene/upgrade-to-lucene-7.sh</w:t>
      </w:r>
    </w:p>
    <w:p>
      <w:pPr>
        <w:numPr>
          <w:numId w:val="1000"/>
          <w:ilvl w:val="0"/>
        </w:numPr>
      </w:pPr>
      <w:r>
        <w:t xml:space="preserve">При необходимости можно передать пути к индексам в командной строке, например: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/opt/synergy/utils/lucene/upgrade-to-lucene-7.sh /some/index/path /some/other/path</w:t>
      </w:r>
    </w:p>
    <w:p>
      <w:pPr>
        <w:pStyle w:val="FirstParagraph"/>
      </w:pPr>
      <w:r>
        <w:t xml:space="preserve">В этом случае файл</w:t>
      </w:r>
      <w:r>
        <w:t xml:space="preserve"> </w:t>
      </w:r>
      <w:r>
        <w:rPr>
          <w:rStyle w:val="VerbatimChar"/>
        </w:rPr>
        <w:t xml:space="preserve">/opt/synergy/jboss/standalone/configuration/arta/luceneConfiguration.xml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случае успешного апгрейда индексов вывод команды будет таким:</w:t>
      </w:r>
    </w:p>
    <w:p>
      <w:pPr>
        <w:pStyle w:val="SourceCode"/>
      </w:pPr>
      <w:r>
        <w:rPr>
          <w:rStyle w:val="VerbatimChar"/>
        </w:rPr>
        <w:t xml:space="preserve">Reading paths from /opt/synergy/jboss/standalone/configuration/arta/luceneConfiguration.xml:</w:t>
      </w:r>
      <w:r>
        <w:br w:type="textWrapping"/>
      </w:r>
      <w:r>
        <w:rPr>
          <w:rStyle w:val="VerbatimChar"/>
        </w:rPr>
        <w:t xml:space="preserve">/var/lib/synergy/documentIndex /var/lib/synergy/formIndex /var/lib/synergy/index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/var/lib/synergy/documentIndex to:</w:t>
      </w:r>
      <w:r>
        <w:br w:type="textWrapping"/>
      </w:r>
      <w:r>
        <w:rPr>
          <w:rStyle w:val="VerbatimChar"/>
        </w:rPr>
        <w:t xml:space="preserve">Lucene version 4.10.4... done.</w:t>
      </w:r>
      <w:r>
        <w:br w:type="textWrapping"/>
      </w:r>
      <w:r>
        <w:rPr>
          <w:rStyle w:val="VerbatimChar"/>
        </w:rPr>
        <w:t xml:space="preserve">Lucene version 5.5.0... done.</w:t>
      </w:r>
      <w:r>
        <w:br w:type="textWrapping"/>
      </w:r>
      <w:r>
        <w:rPr>
          <w:rStyle w:val="VerbatimChar"/>
        </w:rPr>
        <w:t xml:space="preserve">Lucene version 6.3.0... done.</w:t>
      </w:r>
      <w:r>
        <w:br w:type="textWrapping"/>
      </w:r>
      <w:r>
        <w:rPr>
          <w:rStyle w:val="VerbatimChar"/>
        </w:rPr>
        <w:t xml:space="preserve">Lucene version 7.3.1... done.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/var/lib/synergy/formIndex to:</w:t>
      </w:r>
      <w:r>
        <w:br w:type="textWrapping"/>
      </w:r>
      <w:r>
        <w:rPr>
          <w:rStyle w:val="VerbatimChar"/>
        </w:rPr>
        <w:t xml:space="preserve">Lucene version 4.10.4... done.</w:t>
      </w:r>
      <w:r>
        <w:br w:type="textWrapping"/>
      </w:r>
      <w:r>
        <w:rPr>
          <w:rStyle w:val="VerbatimChar"/>
        </w:rPr>
        <w:t xml:space="preserve">Lucene version 5.5.0... done.</w:t>
      </w:r>
      <w:r>
        <w:br w:type="textWrapping"/>
      </w:r>
      <w:r>
        <w:rPr>
          <w:rStyle w:val="VerbatimChar"/>
        </w:rPr>
        <w:t xml:space="preserve">Lucene version 6.3.0... done.</w:t>
      </w:r>
      <w:r>
        <w:br w:type="textWrapping"/>
      </w:r>
      <w:r>
        <w:rPr>
          <w:rStyle w:val="VerbatimChar"/>
        </w:rPr>
        <w:t xml:space="preserve">Lucene version 7.3.1... done.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/var/lib/synergy/index to:</w:t>
      </w:r>
      <w:r>
        <w:br w:type="textWrapping"/>
      </w:r>
      <w:r>
        <w:rPr>
          <w:rStyle w:val="VerbatimChar"/>
        </w:rPr>
        <w:t xml:space="preserve">Lucene version 4.10.4...done.</w:t>
      </w:r>
      <w:r>
        <w:br w:type="textWrapping"/>
      </w:r>
      <w:r>
        <w:rPr>
          <w:rStyle w:val="VerbatimChar"/>
        </w:rPr>
        <w:t xml:space="preserve">Lucene version 5.5.0... done.</w:t>
      </w:r>
      <w:r>
        <w:br w:type="textWrapping"/>
      </w:r>
      <w:r>
        <w:rPr>
          <w:rStyle w:val="VerbatimChar"/>
        </w:rPr>
        <w:t xml:space="preserve">Lucene version 6.3.0... done.</w:t>
      </w:r>
      <w:r>
        <w:br w:type="textWrapping"/>
      </w:r>
      <w:r>
        <w:rPr>
          <w:rStyle w:val="VerbatimChar"/>
        </w:rPr>
        <w:t xml:space="preserve">Lucene version 7.3.1... done.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to Lucene 7 went OK!</w:t>
      </w:r>
    </w:p>
    <w:p>
      <w:pPr>
        <w:pStyle w:val="FirstParagraph"/>
      </w:pPr>
      <w:r>
        <w:t xml:space="preserve">После выполнения утилиты необходимо снова запустить Synergy и выполнить индексацию документов, форм и файлов.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Процедуру полной переиндексации документов, форм и файлов необходимо выполнять независимо от того, какой</w:t>
      </w:r>
      <w:r>
        <w:t xml:space="preserve"> </w:t>
      </w:r>
      <w:r>
        <w:t xml:space="preserve">индексатор используется в Synergy - и для Lucene, и для Elasticsearch.</w:t>
      </w:r>
    </w:p>
    <w:bookmarkEnd w:id="92"/>
    <w:bookmarkStart w:id="93" w:name="tech_stack.xhtml#id8"/>
    <w:p>
      <w:pPr>
        <w:pStyle w:val="Heading3"/>
      </w:pPr>
      <w:r>
        <w:t xml:space="preserve">3.2.2. Возможные ошибки</w:t>
      </w:r>
    </w:p>
    <w:p>
      <w:pPr>
        <w:pStyle w:val="FirstParagraph"/>
      </w:pPr>
      <w:r>
        <w:t xml:space="preserve">Возможна ситуация, когда утилита не сможет обновить индексы:</w:t>
      </w:r>
    </w:p>
    <w:p>
      <w:pPr>
        <w:pStyle w:val="SourceCode"/>
      </w:pPr>
      <w:r>
        <w:rPr>
          <w:rStyle w:val="VerbatimChar"/>
        </w:rPr>
        <w:t xml:space="preserve">Reading paths from /opt/synergy/jboss/standalone/configuration/arta/luceneConfiguration.xml:</w:t>
      </w:r>
      <w:r>
        <w:br w:type="textWrapping"/>
      </w:r>
      <w:r>
        <w:rPr>
          <w:rStyle w:val="VerbatimChar"/>
        </w:rPr>
        <w:t xml:space="preserve">/var/lib/synergy/documentIndex /var/lib/synergy/formIndex /var/lib/synergy/index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/var/lib/synergy/documentIndex to:</w:t>
      </w:r>
      <w:r>
        <w:br w:type="textWrapping"/>
      </w:r>
      <w:r>
        <w:rPr>
          <w:rStyle w:val="VerbatimChar"/>
        </w:rPr>
        <w:t xml:space="preserve">Lucene version 4.10.4...Exception in thread "main" org.apache.lucene.index.IndexFormatTooNewException: Format version is not supported (resource: BufferedChecksumIndexInput(MMapIndexInput(path="/var/lib/synergy/documentIndex/segments_w"))): 8 (needs to be between 0 and 3)</w:t>
      </w:r>
      <w:r>
        <w:br w:type="textWrapping"/>
      </w:r>
      <w:r>
        <w:rPr>
          <w:rStyle w:val="VerbatimChar"/>
        </w:rPr>
        <w:t xml:space="preserve">    at org.apache.lucene.codecs.CodecUtil.checkHeaderNoMagic(CodecUtil.java:156)</w:t>
      </w:r>
      <w:r>
        <w:br w:type="textWrapping"/>
      </w:r>
      <w:r>
        <w:rPr>
          <w:rStyle w:val="VerbatimChar"/>
        </w:rPr>
        <w:t xml:space="preserve">    at org.apache.lucene.index.SegmentInfos.read(SegmentInfos.java:348)</w:t>
      </w:r>
      <w:r>
        <w:br w:type="textWrapping"/>
      </w:r>
      <w:r>
        <w:rPr>
          <w:rStyle w:val="VerbatimChar"/>
        </w:rPr>
        <w:t xml:space="preserve">    at org.apache.lucene.index.SegmentInfos$1.doBody(SegmentInfos.java:462)</w:t>
      </w:r>
      <w:r>
        <w:br w:type="textWrapping"/>
      </w:r>
      <w:r>
        <w:rPr>
          <w:rStyle w:val="VerbatimChar"/>
        </w:rPr>
        <w:t xml:space="preserve">    at org.apache.lucene.index.SegmentInfos$FindSegmentsFile.run(SegmentInfos.java:923)</w:t>
      </w:r>
      <w:r>
        <w:br w:type="textWrapping"/>
      </w:r>
      <w:r>
        <w:rPr>
          <w:rStyle w:val="VerbatimChar"/>
        </w:rPr>
        <w:t xml:space="preserve">    at org.apache.lucene.index.SegmentInfos$FindSegmentsFile.run(SegmentInfos.java:769)</w:t>
      </w:r>
      <w:r>
        <w:br w:type="textWrapping"/>
      </w:r>
      <w:r>
        <w:rPr>
          <w:rStyle w:val="VerbatimChar"/>
        </w:rPr>
        <w:t xml:space="preserve">    at org.apache.lucene.index.SegmentInfos.read(SegmentInfos.java:458)</w:t>
      </w:r>
      <w:r>
        <w:br w:type="textWrapping"/>
      </w:r>
      <w:r>
        <w:rPr>
          <w:rStyle w:val="VerbatimChar"/>
        </w:rPr>
        <w:t xml:space="preserve">    at org.apache.lucene.index.DirectoryReader.listCommits(DirectoryReader.java:277)</w:t>
      </w:r>
      <w:r>
        <w:br w:type="textWrapping"/>
      </w:r>
      <w:r>
        <w:rPr>
          <w:rStyle w:val="VerbatimChar"/>
        </w:rPr>
        <w:t xml:space="preserve">    at org.apache.lucene.index.IndexUpgrader.upgrade(IndexUpgrader.java:150)</w:t>
      </w:r>
      <w:r>
        <w:br w:type="textWrapping"/>
      </w:r>
      <w:r>
        <w:rPr>
          <w:rStyle w:val="VerbatimChar"/>
        </w:rPr>
        <w:t xml:space="preserve">    at org.apache.lucene.index.IndexUpgrader.main(IndexUpgrader.java:73)</w:t>
      </w:r>
    </w:p>
    <w:p>
      <w:pPr>
        <w:pStyle w:val="FirstParagraph"/>
      </w:pPr>
      <w:r>
        <w:t xml:space="preserve">В этом случае нужно:</w:t>
      </w:r>
    </w:p>
    <w:p>
      <w:pPr>
        <w:numPr>
          <w:numId w:val="1034"/>
          <w:ilvl w:val="0"/>
        </w:numPr>
      </w:pPr>
      <w:r>
        <w:t xml:space="preserve">остановить</w:t>
      </w:r>
      <w:r>
        <w:t xml:space="preserve"> </w:t>
      </w:r>
      <w:r>
        <w:rPr>
          <w:rStyle w:val="VerbatimChar"/>
        </w:rPr>
        <w:t xml:space="preserve">jboss</w:t>
      </w:r>
    </w:p>
    <w:p>
      <w:pPr>
        <w:numPr>
          <w:numId w:val="1034"/>
          <w:ilvl w:val="0"/>
        </w:numPr>
      </w:pPr>
      <w:r>
        <w:t xml:space="preserve">удалить индексы из папки</w:t>
      </w:r>
      <w:r>
        <w:t xml:space="preserve"> </w:t>
      </w:r>
      <w:r>
        <w:rPr>
          <w:rStyle w:val="VerbatimChar"/>
        </w:rPr>
        <w:t xml:space="preserve">/var/lib/synergy/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rm -r /var/lib/synergy/documentIndex /var/lib/synergy/formIndex /var/lib/synergy/fileIndex /var/lib/synergy/index</w:t>
      </w:r>
    </w:p>
    <w:p>
      <w:pPr>
        <w:numPr>
          <w:numId w:val="1034"/>
          <w:ilvl w:val="0"/>
        </w:numPr>
      </w:pPr>
      <w:r>
        <w:t xml:space="preserve">запустить</w:t>
      </w:r>
      <w:r>
        <w:t xml:space="preserve"> </w:t>
      </w:r>
      <w:r>
        <w:rPr>
          <w:rStyle w:val="VerbatimChar"/>
        </w:rPr>
        <w:t xml:space="preserve">jboss</w:t>
      </w:r>
      <w:r>
        <w:t xml:space="preserve"> </w:t>
      </w:r>
      <w:r>
        <w:t xml:space="preserve">и выполнить индексирование файлов, форм и документов в Административном приложении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Обратите внимание, что при этом также могут быть удалены и кастомные индексы, которые использовались для построения</w:t>
      </w:r>
      <w:r>
        <w:t xml:space="preserve"> </w:t>
      </w:r>
      <w:r>
        <w:t xml:space="preserve">диаграмм, и при индексировании данных эти индексы не будут созданы автоматически. Бизнес-приложениям необходимо самостоятельно</w:t>
      </w:r>
      <w:r>
        <w:t xml:space="preserve"> </w:t>
      </w:r>
      <w:r>
        <w:t xml:space="preserve">пересоздать используемые кастомные индексы.</w:t>
      </w:r>
    </w:p>
    <w:bookmarkEnd w:id="93"/>
    <w:bookmarkEnd w:id="94"/>
    <w:bookmarkStart w:id="100" w:name="tech_stack.xhtml#cassandra"/>
    <w:p>
      <w:pPr>
        <w:pStyle w:val="Heading2"/>
      </w:pPr>
      <w:r>
        <w:t xml:space="preserve">3.3. Обновление Cassandra</w:t>
      </w:r>
    </w:p>
    <w:p>
      <w:pPr>
        <w:pStyle w:val="FirstParagraph"/>
      </w:pPr>
      <w:r>
        <w:t xml:space="preserve">В Synergy 4.1 была обновлен используемый пакет для хранилища Cassandra до версии 2.2.</w:t>
      </w:r>
      <w:r>
        <w:t xml:space="preserve"> </w:t>
      </w:r>
      <w:r>
        <w:t xml:space="preserve">Со всеми нововведениями в этой версии вы можете ознакомиться</w:t>
      </w:r>
      <w:r>
        <w:t xml:space="preserve"> </w:t>
      </w:r>
      <w:hyperlink r:id="rId95">
        <w:r>
          <w:rPr>
            <w:rStyle w:val="Hyperlink"/>
          </w:rPr>
          <w:t xml:space="preserve">по ссылке</w:t>
        </w:r>
      </w:hyperlink>
      <w:r>
        <w:t xml:space="preserve"> </w:t>
      </w:r>
      <w:r>
        <w:t xml:space="preserve">[https://docs.datastax.com/en/archived/cassandra/2.2/cassandra/features.html]</w:t>
      </w:r>
      <w:r>
        <w:t xml:space="preserve">.</w:t>
      </w:r>
    </w:p>
    <w:p>
      <w:pPr>
        <w:pStyle w:val="BodyText"/>
      </w:pPr>
      <w:r>
        <w:t xml:space="preserve">Одним из преимуществ новой версии Cassandra является возможность</w:t>
      </w:r>
      <w:r>
        <w:t xml:space="preserve"> </w:t>
      </w:r>
      <w:hyperlink r:id="rId96">
        <w:r>
          <w:rPr>
            <w:rStyle w:val="Hyperlink"/>
          </w:rPr>
          <w:t xml:space="preserve">компрессии данных</w:t>
        </w:r>
      </w:hyperlink>
      <w:r>
        <w:t xml:space="preserve"> </w:t>
      </w:r>
      <w:r>
        <w:t xml:space="preserve">[https://docs.datastax.com/en/archived/cassandra/2.2/cassandra/operations/opsAboutConfigCompress.html]</w:t>
      </w:r>
      <w:r>
        <w:t xml:space="preserve">,</w:t>
      </w:r>
      <w:r>
        <w:t xml:space="preserve"> </w:t>
      </w:r>
      <w:r>
        <w:t xml:space="preserve">которая не только обеспечивает экономию дискового пространства, но и увеличивает скорость</w:t>
      </w:r>
      <w:r>
        <w:t xml:space="preserve"> </w:t>
      </w:r>
      <w:r>
        <w:t xml:space="preserve">чтения с диска на 25-35% (согласно</w:t>
      </w:r>
      <w:r>
        <w:t xml:space="preserve"> </w:t>
      </w:r>
      <w:hyperlink r:id="rId97">
        <w:r>
          <w:rPr>
            <w:rStyle w:val="Hyperlink"/>
          </w:rPr>
          <w:t xml:space="preserve">официальному заявлению Datastax</w:t>
        </w:r>
      </w:hyperlink>
      <w:r>
        <w:t xml:space="preserve"> </w:t>
      </w:r>
      <w:r>
        <w:t xml:space="preserve">[https://docs.datastax.com/en/archived/cassandra/2.2/cassandra/operations/opsWhenCompress.html]</w:t>
      </w:r>
      <w:r>
        <w:t xml:space="preserve">).</w:t>
      </w:r>
    </w:p>
    <w:p>
      <w:pPr>
        <w:pStyle w:val="TableCaption"/>
      </w:pPr>
      <w:r>
        <w:t xml:space="preserve">Сравнение экономии дискового пространства при использовании различных алгоритмов сжатия</w:t>
      </w:r>
    </w:p>
    <w:tbl>
      <w:tblPr>
        <w:tblStyle w:val="Table"/>
        <w:tblW w:type="pct" w:w="5000.0"/>
        <w:tblLook w:firstRow="1"/>
        <w:tblCaption w:val="Сравнение экономии дискового пространства при использовании различных алгоритмов сжатия"/>
      </w:tblPr>
      <w:tblGrid>
        <w:gridCol w:w="5306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Метод компрессии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Процент</w:t>
            </w:r>
            <w:r>
              <w:t xml:space="preserve"> </w:t>
            </w:r>
            <w:r>
              <w:t xml:space="preserve">сжатия</w:t>
            </w:r>
          </w:p>
        </w:tc>
      </w:tr>
      <w:tr>
        <w:tc>
          <w:p>
            <w:pPr>
              <w:jc w:val="left"/>
            </w:pPr>
            <w:r>
              <w:t xml:space="preserve">LZ4</w:t>
            </w:r>
          </w:p>
        </w:tc>
        <w:tc>
          <w:p>
            <w:pPr>
              <w:jc w:val="left"/>
            </w:pPr>
            <w:r>
              <w:t xml:space="preserve">12,54</w:t>
            </w:r>
          </w:p>
        </w:tc>
      </w:tr>
      <w:tr>
        <w:tc>
          <w:p>
            <w:pPr>
              <w:jc w:val="left"/>
            </w:pPr>
            <w:r>
              <w:t xml:space="preserve">Snappy</w:t>
            </w:r>
          </w:p>
        </w:tc>
        <w:tc>
          <w:p>
            <w:pPr>
              <w:jc w:val="left"/>
            </w:pPr>
            <w:r>
              <w:t xml:space="preserve">12,48</w:t>
            </w:r>
          </w:p>
        </w:tc>
      </w:tr>
      <w:tr>
        <w:tc>
          <w:p>
            <w:pPr>
              <w:jc w:val="left"/>
            </w:pPr>
            <w:r>
              <w:t xml:space="preserve">Deflate</w:t>
            </w:r>
          </w:p>
        </w:tc>
        <w:tc>
          <w:p>
            <w:pPr>
              <w:jc w:val="left"/>
            </w:pPr>
            <w:r>
              <w:t xml:space="preserve">33,84</w:t>
            </w:r>
          </w:p>
        </w:tc>
      </w:tr>
    </w:tbl>
    <w:bookmarkStart w:id="99" w:name="tech_stack.xhtml#id11"/>
    <w:p>
      <w:pPr>
        <w:pStyle w:val="Heading3"/>
      </w:pPr>
      <w:r>
        <w:t xml:space="preserve">3.3.1. Как включить компрессию</w:t>
      </w:r>
    </w:p>
    <w:p>
      <w:pPr>
        <w:pStyle w:val="FirstParagraph"/>
      </w:pPr>
      <w:r>
        <w:t xml:space="preserve">При использовании хранилища Cassandra с платформой Arta Synergy следует включать компрессию на таблицах</w:t>
      </w:r>
      <w:r>
        <w:t xml:space="preserve"> </w:t>
      </w:r>
      <w:r>
        <w:rPr>
          <w:rStyle w:val="VerbatimChar"/>
        </w:rPr>
        <w:t xml:space="preserve">jcr.properties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jcr_ss4c.ss4c</w:t>
      </w:r>
      <w:r>
        <w:t xml:space="preserve">,</w:t>
      </w:r>
      <w:r>
        <w:t xml:space="preserve"> </w:t>
      </w:r>
      <w:r>
        <w:t xml:space="preserve">например, при выборе алгоритма сжатия</w:t>
      </w:r>
      <w:r>
        <w:t xml:space="preserve"> </w:t>
      </w:r>
      <w:r>
        <w:rPr>
          <w:rStyle w:val="VerbatimChar"/>
        </w:rPr>
        <w:t xml:space="preserve">DeflateCompressor</w:t>
      </w:r>
      <w:r>
        <w:t xml:space="preserve"> </w:t>
      </w:r>
      <w:r>
        <w:t xml:space="preserve">команды будут выглядеть следующим образом:</w:t>
      </w:r>
    </w:p>
    <w:p>
      <w:pPr>
        <w:pStyle w:val="SourceCode"/>
        <w:pStyle w:val="BlockText"/>
      </w:pPr>
      <w:r>
        <w:rPr>
          <w:rStyle w:val="VerbatimChar"/>
        </w:rPr>
        <w:t xml:space="preserve">cqlsh&gt; ALTER TABLE jcr.properties WITH compression = {'sstable_compression': 'DeflateCompressor'};</w:t>
      </w:r>
    </w:p>
    <w:p>
      <w:pPr>
        <w:pStyle w:val="SourceCode"/>
        <w:pStyle w:val="BlockText"/>
      </w:pPr>
      <w:r>
        <w:rPr>
          <w:rStyle w:val="VerbatimChar"/>
        </w:rPr>
        <w:t xml:space="preserve">cqlsh&gt; ALTER TABLE jcr_ss4c.ss4c  WITH compression = {'sstable_compression': 'DeflateCompressor'};</w:t>
      </w:r>
    </w:p>
    <w:p>
      <w:pPr>
        <w:pStyle w:val="FirstParagraph"/>
      </w:pPr>
      <w:r>
        <w:t xml:space="preserve">Для отключения компрессии нужно использовать подобную команду:</w:t>
      </w:r>
    </w:p>
    <w:p>
      <w:pPr>
        <w:pStyle w:val="SourceCode"/>
        <w:pStyle w:val="BlockText"/>
      </w:pPr>
      <w:r>
        <w:rPr>
          <w:rStyle w:val="VerbatimChar"/>
        </w:rPr>
        <w:t xml:space="preserve">cqlsh&gt; ALTER TABLE jcr.properties WITH compression = {'sstable_compression': ''};</w:t>
      </w:r>
    </w:p>
    <w:p>
      <w:pPr>
        <w:pStyle w:val="FirstParagraph"/>
      </w:pPr>
      <w:r>
        <w:t xml:space="preserve">Способы включить/ отключить компрессию на таблицах БД показаны в соответствующей</w:t>
      </w:r>
      <w:r>
        <w:t xml:space="preserve"> </w:t>
      </w:r>
      <w:hyperlink r:id="rId98">
        <w:r>
          <w:rPr>
            <w:rStyle w:val="Hyperlink"/>
          </w:rPr>
          <w:t xml:space="preserve">статье</w:t>
        </w:r>
      </w:hyperlink>
      <w:r>
        <w:t xml:space="preserve"> </w:t>
      </w:r>
      <w:r>
        <w:t xml:space="preserve">[https://docs.datastax.com/en/archived/cassandra/2.2/cassandra/operations/opsConfigCompress.html]</w:t>
      </w:r>
      <w:r>
        <w:t xml:space="preserve"> </w:t>
      </w:r>
      <w:r>
        <w:t xml:space="preserve">Datastax.</w:t>
      </w:r>
    </w:p>
    <w:bookmarkEnd w:id="99"/>
    <w:bookmarkEnd w:id="100"/>
    <w:bookmarkStart w:id="102" w:name="tech_stack.xhtml#jasperreports"/>
    <w:p>
      <w:pPr>
        <w:pStyle w:val="Heading2"/>
      </w:pPr>
      <w:r>
        <w:t xml:space="preserve">3.4. Обновление JasperReports</w:t>
      </w:r>
    </w:p>
    <w:p>
      <w:pPr>
        <w:pStyle w:val="FirstParagraph"/>
      </w:pPr>
      <w:r>
        <w:t xml:space="preserve">В новой версии Synergy была добавлена поддержка работы с системой для построения пользовательских отчетов</w:t>
      </w:r>
      <w:r>
        <w:t xml:space="preserve"> </w:t>
      </w:r>
      <w:r>
        <w:rPr>
          <w:b/>
        </w:rPr>
        <w:t xml:space="preserve">TIBCO Jaspersoft Studio</w:t>
      </w:r>
      <w:r>
        <w:t xml:space="preserve"> </w:t>
      </w:r>
      <w:r>
        <w:t xml:space="preserve">(на момент релиза актуальной является версии 6.6.0). Среди прочих изменений,</w:t>
      </w:r>
      <w:r>
        <w:t xml:space="preserve"> </w:t>
      </w:r>
      <w:r>
        <w:t xml:space="preserve">внедренных TIBCO в этой версии, в применении к Synergy интересна возможность построения отчетов на основе</w:t>
      </w:r>
      <w:r>
        <w:t xml:space="preserve"> </w:t>
      </w:r>
      <w:r>
        <w:t xml:space="preserve">данных JSON и XML.</w:t>
      </w:r>
    </w:p>
    <w:p>
      <w:pPr>
        <w:pStyle w:val="BodyText"/>
      </w:pPr>
      <w:r>
        <w:t xml:space="preserve">Инструкция по работе с новой версией JasperReports приведена в</w:t>
      </w:r>
      <w:r>
        <w:t xml:space="preserve"> </w:t>
      </w:r>
      <w:hyperlink r:id="rId101">
        <w:r>
          <w:rPr>
            <w:rStyle w:val="Hyperlink"/>
          </w:rPr>
          <w:t xml:space="preserve">Руководстве разработчика</w:t>
        </w:r>
      </w:hyperlink>
      <w:r>
        <w:t xml:space="preserve"> </w:t>
      </w:r>
      <w:r>
        <w:t xml:space="preserve">[http://rtd.lan.arta.kz/docs/guide/ru/minsky/reports.html]</w:t>
      </w:r>
      <w:r>
        <w:t xml:space="preserve">.</w:t>
      </w:r>
    </w:p>
    <w:bookmarkEnd w:id="102"/>
    <w:bookmarkEnd w:id="103"/>
    <w:p>
      <w:pPr>
        <w:pStyle w:val="BodyText"/>
      </w:pPr>
      <w:bookmarkStart w:id="104" w:name="common.xhtml"/>
      <w:bookmarkEnd w:id="104"/>
    </w:p>
    <w:bookmarkStart w:id="105" w:name="common.xhtml#id1"/>
    <w:p>
      <w:pPr>
        <w:pStyle w:val="Heading1"/>
      </w:pPr>
      <w:r>
        <w:t xml:space="preserve">4. Обновление функций Платформы</w:t>
      </w:r>
    </w:p>
    <w:p>
      <w:pPr>
        <w:pStyle w:val="Compact"/>
        <w:numPr>
          <w:numId w:val="1035"/>
          <w:ilvl w:val="0"/>
        </w:numPr>
      </w:pPr>
      <w:hyperlink w:anchor="processes.xhtml">
        <w:r>
          <w:rPr>
            <w:rStyle w:val="Hyperlink"/>
          </w:rPr>
          <w:t xml:space="preserve">4.1. Реимплементация процессов</w:t>
        </w:r>
      </w:hyperlink>
    </w:p>
    <w:p>
      <w:pPr>
        <w:pStyle w:val="Compact"/>
        <w:numPr>
          <w:numId w:val="1036"/>
          <w:ilvl w:val="1"/>
        </w:numPr>
      </w:pPr>
      <w:hyperlink w:anchor="processes.xhtml#id2">
        <w:r>
          <w:rPr>
            <w:rStyle w:val="Hyperlink"/>
          </w:rPr>
          <w:t xml:space="preserve">4.1.1. Изменения без поддержки обратной совместимости</w:t>
        </w:r>
      </w:hyperlink>
    </w:p>
    <w:p>
      <w:pPr>
        <w:pStyle w:val="Compact"/>
        <w:numPr>
          <w:numId w:val="1036"/>
          <w:ilvl w:val="1"/>
        </w:numPr>
      </w:pPr>
      <w:hyperlink w:anchor="processes.xhtml#id3">
        <w:r>
          <w:rPr>
            <w:rStyle w:val="Hyperlink"/>
          </w:rPr>
          <w:t xml:space="preserve">4.1.2. Пример</w:t>
        </w:r>
      </w:hyperlink>
    </w:p>
    <w:p>
      <w:pPr>
        <w:pStyle w:val="Compact"/>
        <w:numPr>
          <w:numId w:val="1035"/>
          <w:ilvl w:val="0"/>
        </w:numPr>
      </w:pPr>
      <w:hyperlink w:anchor="doc-exchange.xhtml">
        <w:r>
          <w:rPr>
            <w:rStyle w:val="Hyperlink"/>
          </w:rPr>
          <w:t xml:space="preserve">4.2. Новый метод обмена корреспонденцией между организациями Synergy</w:t>
        </w:r>
      </w:hyperlink>
    </w:p>
    <w:p>
      <w:pPr>
        <w:pStyle w:val="Compact"/>
        <w:numPr>
          <w:numId w:val="1037"/>
          <w:ilvl w:val="1"/>
        </w:numPr>
      </w:pPr>
      <w:hyperlink w:anchor="doc-exchange.xhtml#api">
        <w:r>
          <w:rPr>
            <w:rStyle w:val="Hyperlink"/>
          </w:rPr>
          <w:t xml:space="preserve">4.2.1. Изменения методов API</w:t>
        </w:r>
      </w:hyperlink>
    </w:p>
    <w:p>
      <w:pPr>
        <w:pStyle w:val="Compact"/>
        <w:numPr>
          <w:numId w:val="1037"/>
          <w:ilvl w:val="1"/>
        </w:numPr>
      </w:pPr>
      <w:hyperlink w:anchor="doc-exchange.xhtml#id7">
        <w:r>
          <w:rPr>
            <w:rStyle w:val="Hyperlink"/>
          </w:rPr>
          <w:t xml:space="preserve">4.2.2. Первичная настройка</w:t>
        </w:r>
      </w:hyperlink>
    </w:p>
    <w:p>
      <w:pPr>
        <w:pStyle w:val="Compact"/>
        <w:numPr>
          <w:numId w:val="1038"/>
          <w:ilvl w:val="2"/>
        </w:numPr>
      </w:pPr>
      <w:hyperlink w:anchor="doc-exchange.xhtml#id8">
        <w:r>
          <w:rPr>
            <w:rStyle w:val="Hyperlink"/>
          </w:rPr>
          <w:t xml:space="preserve">4.2.2.1. Настройки модуля</w:t>
        </w:r>
      </w:hyperlink>
    </w:p>
    <w:p>
      <w:pPr>
        <w:pStyle w:val="Compact"/>
        <w:numPr>
          <w:numId w:val="1038"/>
          <w:ilvl w:val="2"/>
        </w:numPr>
      </w:pPr>
      <w:hyperlink w:anchor="doc-exchange.xhtml#id9">
        <w:r>
          <w:rPr>
            <w:rStyle w:val="Hyperlink"/>
          </w:rPr>
          <w:t xml:space="preserve">4.2.2.2. Начало работы</w:t>
        </w:r>
      </w:hyperlink>
    </w:p>
    <w:p>
      <w:pPr>
        <w:pStyle w:val="Compact"/>
        <w:numPr>
          <w:numId w:val="1037"/>
          <w:ilvl w:val="1"/>
        </w:numPr>
      </w:pPr>
      <w:hyperlink w:anchor="doc-exchange.xhtml#id10">
        <w:r>
          <w:rPr>
            <w:rStyle w:val="Hyperlink"/>
          </w:rPr>
          <w:t xml:space="preserve">4.2.3. Добавление нового корреспондента</w:t>
        </w:r>
      </w:hyperlink>
    </w:p>
    <w:p>
      <w:pPr>
        <w:pStyle w:val="Compact"/>
        <w:numPr>
          <w:numId w:val="1037"/>
          <w:ilvl w:val="1"/>
        </w:numPr>
      </w:pPr>
      <w:hyperlink w:anchor="doc-exchange.xhtml#id11">
        <w:r>
          <w:rPr>
            <w:rStyle w:val="Hyperlink"/>
          </w:rPr>
          <w:t xml:space="preserve">4.2.4. Группы корреспондентов</w:t>
        </w:r>
      </w:hyperlink>
    </w:p>
    <w:p>
      <w:pPr>
        <w:pStyle w:val="Compact"/>
        <w:numPr>
          <w:numId w:val="1037"/>
          <w:ilvl w:val="1"/>
        </w:numPr>
      </w:pPr>
      <w:hyperlink w:anchor="doc-exchange.xhtml#id12">
        <w:r>
          <w:rPr>
            <w:rStyle w:val="Hyperlink"/>
          </w:rPr>
          <w:t xml:space="preserve">4.2.5. Синхронизация</w:t>
        </w:r>
      </w:hyperlink>
    </w:p>
    <w:p>
      <w:pPr>
        <w:pStyle w:val="Compact"/>
        <w:numPr>
          <w:numId w:val="1039"/>
          <w:ilvl w:val="2"/>
        </w:numPr>
      </w:pPr>
      <w:hyperlink w:anchor="doc-exchange.xhtml#id13">
        <w:r>
          <w:rPr>
            <w:rStyle w:val="Hyperlink"/>
          </w:rPr>
          <w:t xml:space="preserve">4.2.5.1. Пример: отправка и получение документов</w:t>
        </w:r>
      </w:hyperlink>
    </w:p>
    <w:p>
      <w:pPr>
        <w:pStyle w:val="Compact"/>
        <w:numPr>
          <w:numId w:val="1035"/>
          <w:ilvl w:val="0"/>
        </w:numPr>
      </w:pPr>
      <w:hyperlink w:anchor="libraries.xhtml">
        <w:r>
          <w:rPr>
            <w:rStyle w:val="Hyperlink"/>
          </w:rPr>
          <w:t xml:space="preserve">4.3. Подключаемые библиотеки в Интерпретаторе</w:t>
        </w:r>
      </w:hyperlink>
    </w:p>
    <w:p>
      <w:pPr>
        <w:pStyle w:val="Compact"/>
        <w:numPr>
          <w:numId w:val="1035"/>
          <w:ilvl w:val="0"/>
        </w:numPr>
      </w:pPr>
      <w:hyperlink w:anchor="forms.xhtml">
        <w:r>
          <w:rPr>
            <w:rStyle w:val="Hyperlink"/>
          </w:rPr>
          <w:t xml:space="preserve">4.4. Доработка форм</w:t>
        </w:r>
      </w:hyperlink>
    </w:p>
    <w:p>
      <w:pPr>
        <w:pStyle w:val="Compact"/>
        <w:numPr>
          <w:numId w:val="1040"/>
          <w:ilvl w:val="1"/>
        </w:numPr>
      </w:pPr>
      <w:hyperlink w:anchor="forms.xhtml#id2">
        <w:r>
          <w:rPr>
            <w:rStyle w:val="Hyperlink"/>
          </w:rPr>
          <w:t xml:space="preserve">4.4.1. Представления формы</w:t>
        </w:r>
      </w:hyperlink>
    </w:p>
    <w:p>
      <w:pPr>
        <w:pStyle w:val="Compact"/>
        <w:numPr>
          <w:numId w:val="1041"/>
          <w:ilvl w:val="2"/>
        </w:numPr>
      </w:pPr>
      <w:hyperlink w:anchor="forms.xhtml#id3">
        <w:r>
          <w:rPr>
            <w:rStyle w:val="Hyperlink"/>
          </w:rPr>
          <w:t xml:space="preserve">4.4.1.1. Использование представлений форм</w:t>
        </w:r>
      </w:hyperlink>
    </w:p>
    <w:p>
      <w:pPr>
        <w:pStyle w:val="Compact"/>
        <w:numPr>
          <w:numId w:val="1040"/>
          <w:ilvl w:val="1"/>
        </w:numPr>
      </w:pPr>
      <w:hyperlink w:anchor="forms.xhtml#id4">
        <w:r>
          <w:rPr>
            <w:rStyle w:val="Hyperlink"/>
          </w:rPr>
          <w:t xml:space="preserve">4.4.2. Новый компонент «Вычисляемое поле»</w:t>
        </w:r>
      </w:hyperlink>
    </w:p>
    <w:p>
      <w:pPr>
        <w:pStyle w:val="Compact"/>
        <w:numPr>
          <w:numId w:val="1042"/>
          <w:ilvl w:val="2"/>
        </w:numPr>
      </w:pPr>
      <w:hyperlink w:anchor="forms.xhtml#id5">
        <w:r>
          <w:rPr>
            <w:rStyle w:val="Hyperlink"/>
          </w:rPr>
          <w:t xml:space="preserve">4.4.2.1. Описание компонента</w:t>
        </w:r>
      </w:hyperlink>
    </w:p>
    <w:p>
      <w:pPr>
        <w:pStyle w:val="Compact"/>
        <w:numPr>
          <w:numId w:val="1042"/>
          <w:ilvl w:val="2"/>
        </w:numPr>
      </w:pPr>
      <w:hyperlink w:anchor="forms.xhtml#id6">
        <w:r>
          <w:rPr>
            <w:rStyle w:val="Hyperlink"/>
          </w:rPr>
          <w:t xml:space="preserve">4.4.2.2. Синтаксис формул</w:t>
        </w:r>
      </w:hyperlink>
    </w:p>
    <w:p>
      <w:pPr>
        <w:pStyle w:val="Compact"/>
        <w:numPr>
          <w:numId w:val="1042"/>
          <w:ilvl w:val="2"/>
        </w:numPr>
      </w:pPr>
      <w:hyperlink w:anchor="forms.xhtml#id9">
        <w:r>
          <w:rPr>
            <w:rStyle w:val="Hyperlink"/>
          </w:rPr>
          <w:t xml:space="preserve">4.4.2.3. Работа с динамическими таблицами</w:t>
        </w:r>
      </w:hyperlink>
    </w:p>
    <w:p>
      <w:pPr>
        <w:pStyle w:val="Compact"/>
        <w:numPr>
          <w:numId w:val="1042"/>
          <w:ilvl w:val="2"/>
        </w:numPr>
      </w:pPr>
      <w:hyperlink w:anchor="forms.xhtml#id10">
        <w:r>
          <w:rPr>
            <w:rStyle w:val="Hyperlink"/>
          </w:rPr>
          <w:t xml:space="preserve">4.4.2.4. Пример</w:t>
        </w:r>
      </w:hyperlink>
    </w:p>
    <w:p>
      <w:pPr>
        <w:pStyle w:val="Compact"/>
        <w:numPr>
          <w:numId w:val="1040"/>
          <w:ilvl w:val="1"/>
        </w:numPr>
      </w:pPr>
      <w:hyperlink w:anchor="forms.xhtml#id11">
        <w:r>
          <w:rPr>
            <w:rStyle w:val="Hyperlink"/>
          </w:rPr>
          <w:t xml:space="preserve">4.4.3. Поиск в компоненте «Выпадающий список»</w:t>
        </w:r>
      </w:hyperlink>
    </w:p>
    <w:p>
      <w:pPr>
        <w:pStyle w:val="Compact"/>
        <w:numPr>
          <w:numId w:val="1040"/>
          <w:ilvl w:val="1"/>
        </w:numPr>
      </w:pPr>
      <w:hyperlink w:anchor="forms.xhtml#id12">
        <w:r>
          <w:rPr>
            <w:rStyle w:val="Hyperlink"/>
          </w:rPr>
          <w:t xml:space="preserve">4.4.4. Изменение логики работы метода для заполнения значений компонента «Выбор вариантов»</w:t>
        </w:r>
      </w:hyperlink>
    </w:p>
    <w:p>
      <w:pPr>
        <w:pStyle w:val="Compact"/>
        <w:numPr>
          <w:numId w:val="1043"/>
          <w:ilvl w:val="2"/>
        </w:numPr>
      </w:pPr>
      <w:hyperlink w:anchor="forms.xhtml#id13">
        <w:r>
          <w:rPr>
            <w:rStyle w:val="Hyperlink"/>
          </w:rPr>
          <w:t xml:space="preserve">4.4.4.1. Пример</w:t>
        </w:r>
      </w:hyperlink>
    </w:p>
    <w:p>
      <w:pPr>
        <w:pStyle w:val="Compact"/>
        <w:numPr>
          <w:numId w:val="1035"/>
          <w:ilvl w:val="0"/>
        </w:numPr>
      </w:pPr>
      <w:hyperlink w:anchor="set-responsible.xhtml">
        <w:r>
          <w:rPr>
            <w:rStyle w:val="Hyperlink"/>
          </w:rPr>
          <w:t xml:space="preserve">4.5. Доработка процесса указания ответственного по этапу маршрута должностью</w:t>
        </w:r>
      </w:hyperlink>
    </w:p>
    <w:p>
      <w:pPr>
        <w:pStyle w:val="Compact"/>
        <w:numPr>
          <w:numId w:val="1044"/>
          <w:ilvl w:val="1"/>
        </w:numPr>
      </w:pPr>
      <w:hyperlink w:anchor="set-responsible.xhtml#api">
        <w:r>
          <w:rPr>
            <w:rStyle w:val="Hyperlink"/>
          </w:rPr>
          <w:t xml:space="preserve">4.5.1. Метод API</w:t>
        </w:r>
      </w:hyperlink>
    </w:p>
    <w:p>
      <w:pPr>
        <w:pStyle w:val="Compact"/>
        <w:numPr>
          <w:numId w:val="1044"/>
          <w:ilvl w:val="1"/>
        </w:numPr>
      </w:pPr>
      <w:hyperlink w:anchor="set-responsible.xhtml#id3">
        <w:r>
          <w:rPr>
            <w:rStyle w:val="Hyperlink"/>
          </w:rPr>
          <w:t xml:space="preserve">4.5.2. Событие создания работы по выбору ответственного</w:t>
        </w:r>
      </w:hyperlink>
    </w:p>
    <w:p>
      <w:pPr>
        <w:pStyle w:val="Compact"/>
        <w:numPr>
          <w:numId w:val="1044"/>
          <w:ilvl w:val="1"/>
        </w:numPr>
      </w:pPr>
      <w:hyperlink w:anchor="set-responsible.xhtml#id4">
        <w:r>
          <w:rPr>
            <w:rStyle w:val="Hyperlink"/>
          </w:rPr>
          <w:t xml:space="preserve">4.5.3. Действия при обновлении</w:t>
        </w:r>
      </w:hyperlink>
    </w:p>
    <w:p>
      <w:pPr>
        <w:pStyle w:val="Compact"/>
        <w:numPr>
          <w:numId w:val="1044"/>
          <w:ilvl w:val="1"/>
        </w:numPr>
      </w:pPr>
      <w:hyperlink w:anchor="set-responsible.xhtml#id5">
        <w:r>
          <w:rPr>
            <w:rStyle w:val="Hyperlink"/>
          </w:rPr>
          <w:t xml:space="preserve">4.5.4. Пример</w:t>
        </w:r>
      </w:hyperlink>
    </w:p>
    <w:p>
      <w:pPr>
        <w:pStyle w:val="Compact"/>
        <w:numPr>
          <w:numId w:val="1035"/>
          <w:ilvl w:val="0"/>
        </w:numPr>
      </w:pPr>
      <w:hyperlink w:anchor="custom-modules.xhtml">
        <w:r>
          <w:rPr>
            <w:rStyle w:val="Hyperlink"/>
          </w:rPr>
          <w:t xml:space="preserve">4.6. Доработка внешних модулей</w:t>
        </w:r>
      </w:hyperlink>
    </w:p>
    <w:p>
      <w:pPr>
        <w:pStyle w:val="Compact"/>
        <w:numPr>
          <w:numId w:val="1045"/>
          <w:ilvl w:val="1"/>
        </w:numPr>
      </w:pPr>
      <w:hyperlink w:anchor="custom-modules.xhtml#id2">
        <w:r>
          <w:rPr>
            <w:rStyle w:val="Hyperlink"/>
          </w:rPr>
          <w:t xml:space="preserve">4.6.1. Назначение прав на внешний модуль с помощью групп пользователей</w:t>
        </w:r>
      </w:hyperlink>
    </w:p>
    <w:p>
      <w:pPr>
        <w:pStyle w:val="Compact"/>
        <w:numPr>
          <w:numId w:val="1046"/>
          <w:ilvl w:val="2"/>
        </w:numPr>
      </w:pPr>
      <w:hyperlink w:anchor="custom-modules.xhtml#id3">
        <w:r>
          <w:rPr>
            <w:rStyle w:val="Hyperlink"/>
          </w:rPr>
          <w:t xml:space="preserve">4.6.1.1. Действия при обновлении</w:t>
        </w:r>
      </w:hyperlink>
    </w:p>
    <w:p>
      <w:pPr>
        <w:pStyle w:val="Compact"/>
        <w:numPr>
          <w:numId w:val="1045"/>
          <w:ilvl w:val="1"/>
        </w:numPr>
      </w:pPr>
      <w:hyperlink w:anchor="custom-modules.xhtml#id4">
        <w:r>
          <w:rPr>
            <w:rStyle w:val="Hyperlink"/>
          </w:rPr>
          <w:t xml:space="preserve">4.6.2. Расширение возможности авторизации по ключам</w:t>
        </w:r>
      </w:hyperlink>
    </w:p>
    <w:p>
      <w:pPr>
        <w:pStyle w:val="Compact"/>
        <w:numPr>
          <w:numId w:val="1035"/>
          <w:ilvl w:val="0"/>
        </w:numPr>
      </w:pPr>
      <w:hyperlink w:anchor="filters.xhtml">
        <w:r>
          <w:rPr>
            <w:rStyle w:val="Hyperlink"/>
          </w:rPr>
          <w:t xml:space="preserve">4.7. Сравнение дробных чисел в фильтрах реестров</w:t>
        </w:r>
      </w:hyperlink>
    </w:p>
    <w:p>
      <w:pPr>
        <w:pStyle w:val="Compact"/>
        <w:numPr>
          <w:numId w:val="1035"/>
          <w:ilvl w:val="0"/>
        </w:numPr>
      </w:pPr>
      <w:hyperlink w:anchor="dict-import.xhtml">
        <w:r>
          <w:rPr>
            <w:rStyle w:val="Hyperlink"/>
          </w:rPr>
          <w:t xml:space="preserve">4.8. Импорт элементов в справочник</w:t>
        </w:r>
      </w:hyperlink>
    </w:p>
    <w:p>
      <w:pPr>
        <w:pStyle w:val="Compact"/>
        <w:numPr>
          <w:numId w:val="1047"/>
          <w:ilvl w:val="1"/>
        </w:numPr>
      </w:pPr>
      <w:hyperlink w:anchor="dict-import.xhtml#id2">
        <w:r>
          <w:rPr>
            <w:rStyle w:val="Hyperlink"/>
          </w:rPr>
          <w:t xml:space="preserve">4.8.1. Общее описание процесса импорта</w:t>
        </w:r>
      </w:hyperlink>
    </w:p>
    <w:p>
      <w:pPr>
        <w:pStyle w:val="Compact"/>
        <w:numPr>
          <w:numId w:val="1048"/>
          <w:ilvl w:val="2"/>
        </w:numPr>
      </w:pPr>
      <w:hyperlink w:anchor="dict-import.xhtml#id3">
        <w:r>
          <w:rPr>
            <w:rStyle w:val="Hyperlink"/>
          </w:rPr>
          <w:t xml:space="preserve">4.8.1.1. Сопоставление импортированных элементов элементам справочника</w:t>
        </w:r>
      </w:hyperlink>
    </w:p>
    <w:p>
      <w:pPr>
        <w:pStyle w:val="Compact"/>
        <w:numPr>
          <w:numId w:val="1048"/>
          <w:ilvl w:val="2"/>
        </w:numPr>
      </w:pPr>
      <w:hyperlink w:anchor="dict-import.xhtml#id4">
        <w:r>
          <w:rPr>
            <w:rStyle w:val="Hyperlink"/>
          </w:rPr>
          <w:t xml:space="preserve">4.8.1.2. Переводимые столбцы</w:t>
        </w:r>
      </w:hyperlink>
    </w:p>
    <w:p>
      <w:pPr>
        <w:pStyle w:val="Compact"/>
        <w:numPr>
          <w:numId w:val="1048"/>
          <w:ilvl w:val="2"/>
        </w:numPr>
      </w:pPr>
      <w:hyperlink w:anchor="dict-import.xhtml#id5">
        <w:r>
          <w:rPr>
            <w:rStyle w:val="Hyperlink"/>
          </w:rPr>
          <w:t xml:space="preserve">4.8.1.3. Результат проверки</w:t>
        </w:r>
      </w:hyperlink>
    </w:p>
    <w:p>
      <w:pPr>
        <w:pStyle w:val="Compact"/>
        <w:numPr>
          <w:numId w:val="1047"/>
          <w:ilvl w:val="1"/>
        </w:numPr>
      </w:pPr>
      <w:hyperlink w:anchor="dict-import.xhtml#id6">
        <w:r>
          <w:rPr>
            <w:rStyle w:val="Hyperlink"/>
          </w:rPr>
          <w:t xml:space="preserve">4.8.2. Пример</w:t>
        </w:r>
      </w:hyperlink>
    </w:p>
    <w:bookmarkEnd w:id="105"/>
    <w:p>
      <w:pPr>
        <w:pStyle w:val="FirstParagraph"/>
      </w:pPr>
      <w:bookmarkStart w:id="106" w:name="processes.xhtml"/>
      <w:bookmarkEnd w:id="106"/>
    </w:p>
    <w:bookmarkStart w:id="116" w:name="processes.xhtml#id1"/>
    <w:p>
      <w:pPr>
        <w:pStyle w:val="Heading1"/>
      </w:pPr>
      <w:r>
        <w:t xml:space="preserve">4.1. Реимплементация процессов</w:t>
      </w:r>
    </w:p>
    <w:p>
      <w:pPr>
        <w:pStyle w:val="FirstParagraph"/>
      </w:pPr>
      <w:r>
        <w:t xml:space="preserve">В Synergy 4.1 был полностью исключен модуль JBPM, который использовался для управления процессами в документах.</w:t>
      </w:r>
      <w:r>
        <w:t xml:space="preserve"> </w:t>
      </w:r>
      <w:r>
        <w:t xml:space="preserve">Теперь вся реализация процессов полностью включена в ядро платформы.</w:t>
      </w:r>
    </w:p>
    <w:p>
      <w:pPr>
        <w:pStyle w:val="BodyText"/>
      </w:pPr>
      <w:r>
        <w:t xml:space="preserve">При этом было изменено поведение так называемых «специальных процессов» - то есть тех, которые выполняются автоматически,</w:t>
      </w:r>
      <w:r>
        <w:t xml:space="preserve"> </w:t>
      </w:r>
      <w:r>
        <w:t xml:space="preserve">без участия пользователя. К специальным процессам относятся:</w:t>
      </w:r>
    </w:p>
    <w:p>
      <w:pPr>
        <w:numPr>
          <w:numId w:val="1049"/>
          <w:ilvl w:val="0"/>
        </w:numPr>
      </w:pPr>
      <w:r>
        <w:t xml:space="preserve">назначение на должность</w:t>
      </w:r>
    </w:p>
    <w:p>
      <w:pPr>
        <w:numPr>
          <w:numId w:val="1049"/>
          <w:ilvl w:val="0"/>
        </w:numPr>
      </w:pPr>
      <w:r>
        <w:t xml:space="preserve">перевод</w:t>
      </w:r>
    </w:p>
    <w:p>
      <w:pPr>
        <w:numPr>
          <w:numId w:val="1049"/>
          <w:ilvl w:val="0"/>
        </w:numPr>
      </w:pPr>
      <w:r>
        <w:t xml:space="preserve">увольнение</w:t>
      </w:r>
    </w:p>
    <w:p>
      <w:pPr>
        <w:numPr>
          <w:numId w:val="1049"/>
          <w:ilvl w:val="0"/>
        </w:numPr>
      </w:pPr>
      <w:r>
        <w:t xml:space="preserve">копирование в личное дело</w:t>
      </w:r>
    </w:p>
    <w:p>
      <w:pPr>
        <w:numPr>
          <w:numId w:val="1049"/>
          <w:ilvl w:val="0"/>
        </w:numPr>
      </w:pPr>
      <w:r>
        <w:t xml:space="preserve">назначение календаря</w:t>
      </w:r>
    </w:p>
    <w:p>
      <w:pPr>
        <w:numPr>
          <w:numId w:val="1049"/>
          <w:ilvl w:val="0"/>
        </w:numPr>
      </w:pPr>
      <w:r>
        <w:t xml:space="preserve">копирование в карточку</w:t>
      </w:r>
    </w:p>
    <w:p>
      <w:pPr>
        <w:numPr>
          <w:numId w:val="1049"/>
          <w:ilvl w:val="0"/>
        </w:numPr>
      </w:pPr>
      <w:r>
        <w:t xml:space="preserve">переназначение работ</w:t>
      </w:r>
    </w:p>
    <w:p>
      <w:pPr>
        <w:numPr>
          <w:numId w:val="1049"/>
          <w:ilvl w:val="0"/>
        </w:numPr>
      </w:pPr>
      <w:r>
        <w:t xml:space="preserve">отправка документа по форме</w:t>
      </w:r>
    </w:p>
    <w:p>
      <w:pPr>
        <w:numPr>
          <w:numId w:val="1049"/>
          <w:ilvl w:val="0"/>
        </w:numPr>
      </w:pPr>
      <w:r>
        <w:t xml:space="preserve">сопоставление в реестр</w:t>
      </w:r>
    </w:p>
    <w:p>
      <w:pPr>
        <w:numPr>
          <w:numId w:val="1049"/>
          <w:ilvl w:val="0"/>
        </w:numPr>
      </w:pPr>
      <w:r>
        <w:t xml:space="preserve">событие реестра</w:t>
      </w:r>
    </w:p>
    <w:p>
      <w:pPr>
        <w:numPr>
          <w:numId w:val="1049"/>
          <w:ilvl w:val="0"/>
        </w:numPr>
      </w:pPr>
      <w:r>
        <w:t xml:space="preserve">результат запроса</w:t>
      </w:r>
    </w:p>
    <w:p>
      <w:pPr>
        <w:numPr>
          <w:numId w:val="1049"/>
          <w:ilvl w:val="0"/>
        </w:numPr>
      </w:pPr>
      <w:r>
        <w:t xml:space="preserve">таймер</w:t>
      </w:r>
    </w:p>
    <w:p>
      <w:pPr>
        <w:pStyle w:val="FirstParagraph"/>
      </w:pPr>
      <w:r>
        <w:t xml:space="preserve">Для всех этих типов действий была добавлена возможность запуска группы последовательных этапов</w:t>
      </w:r>
      <w:r>
        <w:t xml:space="preserve"> </w:t>
      </w:r>
      <w:r>
        <w:rPr>
          <w:b/>
        </w:rPr>
        <w:t xml:space="preserve">в единой транзакции</w:t>
      </w:r>
      <w:r>
        <w:t xml:space="preserve">:</w:t>
      </w:r>
      <w:r>
        <w:t xml:space="preserve"> </w:t>
      </w:r>
      <w:r>
        <w:t xml:space="preserve">для этапа со специальным процессом добавлена возможность добавления к нему последовательных подэтапов. Таким образом</w:t>
      </w:r>
      <w:r>
        <w:t xml:space="preserve"> </w:t>
      </w:r>
      <w:r>
        <w:t xml:space="preserve">обеспечивается транзакционная целостность специальных процессов.</w:t>
      </w:r>
    </w:p>
    <w:bookmarkStart w:id="107" w:name="processes.xhtml#id2"/>
    <w:p>
      <w:pPr>
        <w:pStyle w:val="Heading2"/>
      </w:pPr>
      <w:r>
        <w:t xml:space="preserve">4.1.1. Изменения без поддержки обратной совместимости</w:t>
      </w:r>
    </w:p>
    <w:p>
      <w:pPr>
        <w:numPr>
          <w:numId w:val="1050"/>
          <w:ilvl w:val="0"/>
        </w:numPr>
      </w:pPr>
      <w:r>
        <w:t xml:space="preserve">В Административном приложении удален раздел «Обслуживание системы» - «Процессы». Обновление процессов после обновления</w:t>
      </w:r>
      <w:r>
        <w:t xml:space="preserve"> </w:t>
      </w:r>
      <w:r>
        <w:t xml:space="preserve">системы не требуется.</w:t>
      </w:r>
    </w:p>
    <w:p>
      <w:pPr>
        <w:numPr>
          <w:numId w:val="1050"/>
          <w:ilvl w:val="0"/>
        </w:numPr>
      </w:pPr>
      <w:r>
        <w:t xml:space="preserve">Удалены методы API, обеспечивающие обновление процессов:</w:t>
      </w:r>
    </w:p>
    <w:p>
      <w:pPr>
        <w:numPr>
          <w:numId w:val="1051"/>
          <w:ilvl w:val="1"/>
        </w:numPr>
      </w:pPr>
      <w:r>
        <w:rPr>
          <w:rStyle w:val="VerbatimChar"/>
        </w:rPr>
        <w:t xml:space="preserve">rest/api/admin/processes/available</w:t>
      </w:r>
    </w:p>
    <w:p>
      <w:pPr>
        <w:numPr>
          <w:numId w:val="1051"/>
          <w:ilvl w:val="1"/>
        </w:numPr>
      </w:pPr>
      <w:r>
        <w:rPr>
          <w:rStyle w:val="VerbatimChar"/>
        </w:rPr>
        <w:t xml:space="preserve">rest/api/admin/processes/not_actual</w:t>
      </w:r>
    </w:p>
    <w:p>
      <w:pPr>
        <w:numPr>
          <w:numId w:val="1051"/>
          <w:ilvl w:val="1"/>
        </w:numPr>
      </w:pPr>
      <w:r>
        <w:rPr>
          <w:rStyle w:val="VerbatimChar"/>
        </w:rPr>
        <w:t xml:space="preserve">rest/api/admin/processes/update</w:t>
      </w:r>
    </w:p>
    <w:p>
      <w:pPr>
        <w:numPr>
          <w:numId w:val="1050"/>
          <w:ilvl w:val="0"/>
        </w:numPr>
      </w:pPr>
      <w:r>
        <w:t xml:space="preserve">Удалена схема базы данных</w:t>
      </w:r>
      <w:r>
        <w:t xml:space="preserve"> </w:t>
      </w:r>
      <w:r>
        <w:rPr>
          <w:rStyle w:val="VerbatimChar"/>
        </w:rPr>
        <w:t xml:space="preserve">jbpmdb</w:t>
      </w:r>
      <w:r>
        <w:t xml:space="preserve">.</w:t>
      </w:r>
    </w:p>
    <w:bookmarkEnd w:id="107"/>
    <w:bookmarkStart w:id="115" w:name="processes.xhtml#id3"/>
    <w:p>
      <w:pPr>
        <w:pStyle w:val="Heading2"/>
      </w:pPr>
      <w:r>
        <w:t xml:space="preserve">4.1.2. Пример</w:t>
      </w:r>
    </w:p>
    <w:p>
      <w:pPr>
        <w:pStyle w:val="FirstParagraph"/>
      </w:pPr>
      <w:r>
        <w:t xml:space="preserve">Рассмотрим синтетический, но достаточно наглядный пример, когда нужно одним приказом об отпуске сотрудника изменить его статус,</w:t>
      </w:r>
      <w:r>
        <w:t xml:space="preserve"> </w:t>
      </w:r>
      <w:r>
        <w:t xml:space="preserve">переназначить его работы на другого сотрудника, скопировать сведения об отпуске в личную карточку сотрудника, а сам приказ - в</w:t>
      </w:r>
      <w:r>
        <w:t xml:space="preserve"> </w:t>
      </w:r>
      <w:r>
        <w:t xml:space="preserve">его личное дело.</w:t>
      </w:r>
    </w:p>
    <w:p>
      <w:pPr>
        <w:pStyle w:val="BodyText"/>
      </w:pPr>
      <w:r>
        <w:t xml:space="preserve">Маршрут активации записи реестра приказов может быть таким:</w:t>
      </w:r>
    </w:p>
    <w:p>
      <w:pPr>
        <w:numPr>
          <w:numId w:val="1052"/>
          <w:ilvl w:val="0"/>
        </w:numPr>
      </w:pPr>
      <w:r>
        <w:t xml:space="preserve">Согласование</w:t>
      </w:r>
    </w:p>
    <w:p>
      <w:pPr>
        <w:numPr>
          <w:numId w:val="1052"/>
          <w:ilvl w:val="0"/>
        </w:numPr>
      </w:pPr>
      <w:r>
        <w:t xml:space="preserve">Назначение календаря</w:t>
      </w:r>
    </w:p>
    <w:p>
      <w:pPr>
        <w:numPr>
          <w:numId w:val="1052"/>
          <w:ilvl w:val="0"/>
        </w:numPr>
      </w:pPr>
      <w:r>
        <w:t xml:space="preserve">Копирование в личное дело</w:t>
      </w:r>
    </w:p>
    <w:p>
      <w:pPr>
        <w:numPr>
          <w:numId w:val="1052"/>
          <w:ilvl w:val="0"/>
        </w:numPr>
      </w:pPr>
      <w:r>
        <w:t xml:space="preserve">Копирование в карточку</w:t>
      </w:r>
    </w:p>
    <w:p>
      <w:pPr>
        <w:numPr>
          <w:numId w:val="1052"/>
          <w:ilvl w:val="0"/>
        </w:numPr>
      </w:pPr>
      <w:r>
        <w:t xml:space="preserve">Переназначение работ</w:t>
      </w:r>
    </w:p>
    <w:p>
      <w:pPr>
        <w:numPr>
          <w:numId w:val="1052"/>
          <w:ilvl w:val="0"/>
        </w:numPr>
      </w:pPr>
      <w:r>
        <w:t xml:space="preserve">Регистрация</w:t>
      </w:r>
    </w:p>
    <w:p>
      <w:pPr>
        <w:pStyle w:val="FirstParagraph"/>
      </w:pPr>
      <w:r>
        <w:t xml:space="preserve">Сначала добавим этапы «Согласование» и “Назначение календаря”. Текущий вид редактора маршрутов:</w:t>
      </w:r>
    </w:p>
    <w:p>
      <w:pPr>
        <w:pStyle w:val="Compact"/>
      </w:pPr>
      <w:r>
        <w:drawing>
          <wp:inline>
            <wp:extent cx="5334000" cy="3395994"/>
            <wp:effectExtent b="0" l="0" r="0" t="0"/>
            <wp:docPr descr="../_images/image_1.png" title="" id="1" name="Picture"/>
            <a:graphic>
              <a:graphicData uri="http://schemas.openxmlformats.org/drawingml/2006/picture">
                <pic:pic>
                  <pic:nvPicPr>
                    <pic:cNvPr descr="_images/imag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5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Обратите внимание на выделенную кнопку</w:t>
      </w:r>
      <w:r>
        <w:t xml:space="preserve"> </w:t>
      </w:r>
      <w:r>
        <w:drawing>
          <wp:inline>
            <wp:extent cx="203200" cy="203200"/>
            <wp:effectExtent b="0" l="0" r="0" t="0"/>
            <wp:docPr descr="добавить подэтап" title="" id="1" name="Picture"/>
            <a:graphic>
              <a:graphicData uri="http://schemas.openxmlformats.org/drawingml/2006/picture">
                <pic:pic>
                  <pic:nvPicPr>
                    <pic:cNvPr descr="_images/imag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«Добавить последовательный»: эта кнопка активна</w:t>
      </w:r>
      <w:r>
        <w:t xml:space="preserve"> </w:t>
      </w:r>
      <w:r>
        <w:t xml:space="preserve">только для специальных процессов и добавляет новый последовательный подэтап, который будет выполнен в единой транзакции с</w:t>
      </w:r>
      <w:r>
        <w:t xml:space="preserve"> </w:t>
      </w:r>
      <w:r>
        <w:t xml:space="preserve">текущим этапом:</w:t>
      </w:r>
    </w:p>
    <w:p>
      <w:pPr>
        <w:pStyle w:val="Compact"/>
      </w:pPr>
      <w:r>
        <w:drawing>
          <wp:inline>
            <wp:extent cx="5334000" cy="3398853"/>
            <wp:effectExtent b="0" l="0" r="0" t="0"/>
            <wp:docPr descr="../_images/image_3.png" title="" id="1" name="Picture"/>
            <a:graphic>
              <a:graphicData uri="http://schemas.openxmlformats.org/drawingml/2006/picture">
                <pic:pic>
                  <pic:nvPicPr>
                    <pic:cNvPr descr="_images/image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8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добавлении нового последовательного подэтапа список доступных типов действий фильтруется: в нем отображаются только</w:t>
      </w:r>
      <w:r>
        <w:t xml:space="preserve"> </w:t>
      </w:r>
      <w:r>
        <w:t xml:space="preserve">специальные процессы.</w:t>
      </w:r>
    </w:p>
    <w:p>
      <w:pPr>
        <w:pStyle w:val="BodyText"/>
      </w:pPr>
      <w:r>
        <w:t xml:space="preserve">Последовательные подэтапы визуально выделяются в маршруте пунктирной стрелкой слева. Группа подэтапов может быть целиком</w:t>
      </w:r>
      <w:r>
        <w:t xml:space="preserve"> </w:t>
      </w:r>
      <w:r>
        <w:t xml:space="preserve">перемещена вверх или вниз в маршруте с помощью стрелок</w:t>
      </w:r>
      <w:r>
        <w:t xml:space="preserve"> </w:t>
      </w:r>
      <w:r>
        <w:drawing>
          <wp:inline>
            <wp:extent cx="203200" cy="203200"/>
            <wp:effectExtent b="0" l="0" r="0" t="0"/>
            <wp:docPr descr="стрелка вверх" title="" id="1" name="Picture"/>
            <a:graphic>
              <a:graphicData uri="http://schemas.openxmlformats.org/drawingml/2006/picture">
                <pic:pic>
                  <pic:nvPicPr>
                    <pic:cNvPr descr="_images/image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или</w:t>
      </w:r>
      <w:r>
        <w:t xml:space="preserve"> </w:t>
      </w:r>
      <w:r>
        <w:drawing>
          <wp:inline>
            <wp:extent cx="203200" cy="203200"/>
            <wp:effectExtent b="0" l="0" r="0" t="0"/>
            <wp:docPr descr="стрелка вниз" title="" id="1" name="Picture"/>
            <a:graphic>
              <a:graphicData uri="http://schemas.openxmlformats.org/drawingml/2006/picture">
                <pic:pic>
                  <pic:nvPicPr>
                    <pic:cNvPr descr="_images/image_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перемещать подэтапы</w:t>
      </w:r>
      <w:r>
        <w:t xml:space="preserve"> </w:t>
      </w:r>
      <w:r>
        <w:t xml:space="preserve">внутри группы можно обычными стрелками.</w:t>
      </w:r>
    </w:p>
    <w:p>
      <w:pPr>
        <w:pStyle w:val="BodyText"/>
      </w:pPr>
      <w:r>
        <w:t xml:space="preserve">Добавим еще несколько последовательных подэтапов в группу:</w:t>
      </w:r>
    </w:p>
    <w:p>
      <w:pPr>
        <w:pStyle w:val="Compact"/>
      </w:pPr>
      <w:r>
        <w:drawing>
          <wp:inline>
            <wp:extent cx="5334000" cy="3391508"/>
            <wp:effectExtent b="0" l="0" r="0" t="0"/>
            <wp:docPr descr="../_images/image_6.png" title="" id="1" name="Picture"/>
            <a:graphic>
              <a:graphicData uri="http://schemas.openxmlformats.org/drawingml/2006/picture">
                <pic:pic>
                  <pic:nvPicPr>
                    <pic:cNvPr descr="_images/image_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Видно, что последовательные этапы нумеруются внутри своей группы.</w:t>
      </w:r>
    </w:p>
    <w:p>
      <w:pPr>
        <w:pStyle w:val="BodyText"/>
      </w:pPr>
      <w:r>
        <w:t xml:space="preserve">Полный маршрут реестра приказов выглядит таким образом:</w:t>
      </w:r>
    </w:p>
    <w:p>
      <w:pPr>
        <w:pStyle w:val="Compact"/>
      </w:pPr>
      <w:r>
        <w:drawing>
          <wp:inline>
            <wp:extent cx="5334000" cy="3400481"/>
            <wp:effectExtent b="0" l="0" r="0" t="0"/>
            <wp:docPr descr="../_images/image_7.png" title="" id="1" name="Picture"/>
            <a:graphic>
              <a:graphicData uri="http://schemas.openxmlformats.org/drawingml/2006/picture">
                <pic:pic>
                  <pic:nvPicPr>
                    <pic:cNvPr descr="_images/image_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0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такой организации маршрута в случае возникновения ошибки при выполнении одного из последовательных подэтапов будут полностью</w:t>
      </w:r>
      <w:r>
        <w:t xml:space="preserve"> </w:t>
      </w:r>
      <w:r>
        <w:t xml:space="preserve">отменены изменения, внесенные каждым из предыдущих подэтапов этой транзакции.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обновлении Synergy специальные процессы</w:t>
      </w:r>
      <w:r>
        <w:t xml:space="preserve"> </w:t>
      </w:r>
      <w:r>
        <w:rPr>
          <w:b/>
        </w:rPr>
        <w:t xml:space="preserve">не будут</w:t>
      </w:r>
      <w:r>
        <w:t xml:space="preserve"> </w:t>
      </w:r>
      <w:r>
        <w:t xml:space="preserve">автоматически оформлены в такие группы последовательных подэтапов.</w:t>
      </w:r>
      <w:r>
        <w:t xml:space="preserve"> </w:t>
      </w:r>
      <w:r>
        <w:t xml:space="preserve">Разработчику Synergy нужно будет самостоятельно проверить маршруты, настроенные в приложениях, и при необходимости перенастроить</w:t>
      </w:r>
      <w:r>
        <w:t xml:space="preserve"> </w:t>
      </w:r>
      <w:r>
        <w:t xml:space="preserve">их для обеспечения транзакционной целостности их выполнения.</w:t>
      </w:r>
    </w:p>
    <w:bookmarkEnd w:id="115"/>
    <w:bookmarkEnd w:id="116"/>
    <w:p>
      <w:pPr>
        <w:pStyle w:val="BodyText"/>
      </w:pPr>
      <w:bookmarkStart w:id="117" w:name="doc-exchange.xhtml"/>
      <w:bookmarkEnd w:id="117"/>
    </w:p>
    <w:bookmarkStart w:id="169" w:name="doc-exchange.xhtml#synergy"/>
    <w:p>
      <w:pPr>
        <w:pStyle w:val="Heading1"/>
      </w:pPr>
      <w:r>
        <w:t xml:space="preserve">4.2. Новый метод обмена корреспонденцией между организациями Synergy</w:t>
      </w:r>
    </w:p>
    <w:p>
      <w:pPr>
        <w:pStyle w:val="FirstParagraph"/>
      </w:pPr>
      <w:r>
        <w:t xml:space="preserve">В новой версии Synergy мы полностью переписали модуль обмена корреспонденцией между организациями Synergy</w:t>
      </w:r>
      <w:r>
        <w:t xml:space="preserve"> </w:t>
      </w:r>
      <w:r>
        <w:t xml:space="preserve">(модуль DF-EX). Вместо него сейчас используется пакет</w:t>
      </w:r>
      <w:r>
        <w:t xml:space="preserve"> </w:t>
      </w:r>
      <w:r>
        <w:rPr>
          <w:rStyle w:val="VerbatimChar"/>
        </w:rPr>
        <w:t xml:space="preserve">arta-synergy-doc-exchange</w:t>
      </w:r>
      <w:r>
        <w:t xml:space="preserve">, в котором весь обмен</w:t>
      </w:r>
      <w:r>
        <w:t xml:space="preserve"> </w:t>
      </w:r>
      <w:r>
        <w:t xml:space="preserve">документами полностью реализован с помощью API, без использования почты.</w:t>
      </w:r>
    </w:p>
    <w:p>
      <w:pPr>
        <w:pStyle w:val="BodyText"/>
      </w:pPr>
      <w:r>
        <w:t xml:space="preserve">При этом полностью запрещено использование форм старого формата, которые добавлялись в Административном приложении,</w:t>
      </w:r>
      <w:r>
        <w:t xml:space="preserve"> </w:t>
      </w:r>
      <w:r>
        <w:t xml:space="preserve">раздел «Формы»:</w:t>
      </w:r>
    </w:p>
    <w:p>
      <w:pPr>
        <w:pStyle w:val="Compact"/>
      </w:pPr>
      <w:r>
        <w:drawing>
          <wp:inline>
            <wp:extent cx="5334000" cy="2650191"/>
            <wp:effectExtent b="0" l="0" r="0" t="0"/>
            <wp:docPr descr="../_images/dfex_old_forms.png" title="" id="1" name="Picture"/>
            <a:graphic>
              <a:graphicData uri="http://schemas.openxmlformats.org/drawingml/2006/picture">
                <pic:pic>
                  <pic:nvPicPr>
                    <pic:cNvPr descr="_images/dfex_old_form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0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Сами файлы форм не будут удалены, но их нельзя больше использовать для обмена документами, а также запрещено</w:t>
      </w:r>
      <w:r>
        <w:t xml:space="preserve"> </w:t>
      </w:r>
      <w:r>
        <w:t xml:space="preserve">добавлять новые формы в этот раздел.</w:t>
      </w:r>
    </w:p>
    <w:bookmarkStart w:id="125" w:name="doc-exchange.xhtml#api"/>
    <w:p>
      <w:pPr>
        <w:pStyle w:val="Heading2"/>
      </w:pPr>
      <w:r>
        <w:t xml:space="preserve">4.2.1. Изменения методов API</w:t>
      </w:r>
    </w:p>
    <w:p>
      <w:pPr>
        <w:pStyle w:val="FirstParagraph"/>
      </w:pPr>
      <w:r>
        <w:t xml:space="preserve">Для обеспечения полноценного обмена документами были удалены некоторые устаревшие методы и реализованы новые.</w:t>
      </w:r>
      <w:r>
        <w:t xml:space="preserve"> </w:t>
      </w:r>
      <w:r>
        <w:t xml:space="preserve">Все новые методы продокументированы в</w:t>
      </w:r>
      <w:r>
        <w:t xml:space="preserve"> </w:t>
      </w:r>
      <w:r>
        <w:rPr>
          <w:b/>
        </w:rPr>
        <w:t xml:space="preserve">swagger</w:t>
      </w:r>
      <w:r>
        <w:t xml:space="preserve">.</w:t>
      </w:r>
    </w:p>
    <w:p>
      <w:pPr>
        <w:pStyle w:val="BodyText"/>
      </w:pPr>
      <w:r>
        <w:t xml:space="preserve">Удаленные методы API:</w:t>
      </w:r>
    </w:p>
    <w:p>
      <w:pPr>
        <w:numPr>
          <w:numId w:val="1053"/>
          <w:ilvl w:val="0"/>
        </w:numPr>
      </w:pPr>
      <w:r>
        <w:rPr>
          <w:rStyle w:val="VerbatimChar"/>
        </w:rPr>
        <w:t xml:space="preserve">rest/api/docflow/doc/addDtiIDLink</w:t>
      </w:r>
    </w:p>
    <w:p>
      <w:pPr>
        <w:numPr>
          <w:numId w:val="1053"/>
          <w:ilvl w:val="0"/>
        </w:numPr>
      </w:pPr>
      <w:r>
        <w:rPr>
          <w:rStyle w:val="VerbatimChar"/>
        </w:rPr>
        <w:t xml:space="preserve">rest/api/docflow/doc/getDocumentInfo</w:t>
      </w:r>
    </w:p>
    <w:p>
      <w:pPr>
        <w:numPr>
          <w:numId w:val="1053"/>
          <w:ilvl w:val="0"/>
        </w:numPr>
      </w:pPr>
      <w:r>
        <w:rPr>
          <w:rStyle w:val="VerbatimChar"/>
        </w:rPr>
        <w:t xml:space="preserve">rest/api/docflow/doc/getRegUserByUUID</w:t>
      </w:r>
    </w:p>
    <w:p>
      <w:pPr>
        <w:pStyle w:val="FirstParagraph"/>
      </w:pPr>
      <w:r>
        <w:t xml:space="preserve">Новые методы:</w:t>
      </w:r>
    </w:p>
    <w:p>
      <w:pPr>
        <w:numPr>
          <w:numId w:val="1054"/>
          <w:ilvl w:val="0"/>
        </w:numPr>
      </w:pPr>
      <w:r>
        <w:rPr>
          <w:rStyle w:val="VerbatimChar"/>
        </w:rPr>
        <w:t xml:space="preserve">rest/api/docflow/doc/create</w:t>
      </w:r>
      <w:r>
        <w:t xml:space="preserve"> </w:t>
      </w:r>
      <w:r>
        <w:t xml:space="preserve">-</w:t>
      </w:r>
      <w:r>
        <w:t xml:space="preserve"> </w:t>
      </w:r>
      <w:hyperlink r:id="rId119">
        <w:r>
          <w:rPr>
            <w:rStyle w:val="Hyperlink"/>
          </w:rPr>
          <w:t xml:space="preserve">создание документа с карточкой</w:t>
        </w:r>
      </w:hyperlink>
      <w:r>
        <w:t xml:space="preserve"> </w:t>
      </w:r>
      <w:r>
        <w:t xml:space="preserve">[http://tdd.lan.arta.kz/docs/synergy/minsky/sdk-doc/swagger/#!/docflow/post_api_docflow_doc_create]</w:t>
      </w:r>
    </w:p>
    <w:p>
      <w:pPr>
        <w:numPr>
          <w:numId w:val="1054"/>
          <w:ilvl w:val="0"/>
        </w:numPr>
      </w:pPr>
      <w:r>
        <w:rPr>
          <w:rStyle w:val="VerbatimChar"/>
        </w:rPr>
        <w:t xml:space="preserve">rest/api/docflow/doc/log</w:t>
      </w:r>
      <w:r>
        <w:t xml:space="preserve"> </w:t>
      </w:r>
      <w:r>
        <w:t xml:space="preserve">-</w:t>
      </w:r>
      <w:r>
        <w:t xml:space="preserve"> </w:t>
      </w:r>
      <w:hyperlink r:id="rId120">
        <w:r>
          <w:rPr>
            <w:rStyle w:val="Hyperlink"/>
          </w:rPr>
          <w:t xml:space="preserve">добавление либо пересохранение данных из хода исполнения документа</w:t>
        </w:r>
      </w:hyperlink>
      <w:r>
        <w:t xml:space="preserve"> </w:t>
      </w:r>
      <w:r>
        <w:t xml:space="preserve">[http://tdd.lan.arta.kz/docs/synergy/minsky/sdk-doc/swagger/#!/docflow/post_api_docflow_doc_log]</w:t>
      </w:r>
    </w:p>
    <w:p>
      <w:pPr>
        <w:numPr>
          <w:numId w:val="1054"/>
          <w:ilvl w:val="0"/>
        </w:numPr>
      </w:pPr>
      <w:r>
        <w:rPr>
          <w:rStyle w:val="VerbatimChar"/>
        </w:rPr>
        <w:t xml:space="preserve">rest/api/docflow/doc/register</w:t>
      </w:r>
      <w:r>
        <w:t xml:space="preserve"> </w:t>
      </w:r>
      <w:r>
        <w:t xml:space="preserve">-</w:t>
      </w:r>
      <w:r>
        <w:t xml:space="preserve"> </w:t>
      </w:r>
      <w:hyperlink r:id="rId121">
        <w:r>
          <w:rPr>
            <w:rStyle w:val="Hyperlink"/>
          </w:rPr>
          <w:t xml:space="preserve">отправка документа на регистрацию</w:t>
        </w:r>
      </w:hyperlink>
      <w:r>
        <w:t xml:space="preserve"> </w:t>
      </w:r>
      <w:r>
        <w:t xml:space="preserve">[http://tdd.lan.arta.kz/docs/synergy/minsky/sdk-doc/swagger/#!/docflow/post_api_docflow_doc_register]</w:t>
      </w:r>
    </w:p>
    <w:p>
      <w:pPr>
        <w:numPr>
          <w:numId w:val="1054"/>
          <w:ilvl w:val="0"/>
        </w:numPr>
      </w:pPr>
      <w:r>
        <w:rPr>
          <w:rStyle w:val="VerbatimChar"/>
        </w:rPr>
        <w:t xml:space="preserve">rest/api/docflow/doc/reject</w:t>
      </w:r>
      <w:r>
        <w:t xml:space="preserve"> </w:t>
      </w:r>
      <w:r>
        <w:t xml:space="preserve">-</w:t>
      </w:r>
      <w:r>
        <w:t xml:space="preserve"> </w:t>
      </w:r>
      <w:hyperlink r:id="rId122">
        <w:r>
          <w:rPr>
            <w:rStyle w:val="Hyperlink"/>
          </w:rPr>
          <w:t xml:space="preserve">отказ в регистрации документа</w:t>
        </w:r>
      </w:hyperlink>
      <w:r>
        <w:t xml:space="preserve"> </w:t>
      </w:r>
      <w:r>
        <w:t xml:space="preserve">[http://tdd.lan.arta.kz/docs/synergy/minsky/sdk-doc/swagger/#!/docflow/post_api_docflow_doc_reject]</w:t>
      </w:r>
    </w:p>
    <w:p>
      <w:pPr>
        <w:numPr>
          <w:numId w:val="1054"/>
          <w:ilvl w:val="0"/>
        </w:numPr>
      </w:pPr>
      <w:r>
        <w:rPr>
          <w:rStyle w:val="VerbatimChar"/>
        </w:rPr>
        <w:t xml:space="preserve">rest/api/docflow/doc/save</w:t>
      </w:r>
      <w:r>
        <w:t xml:space="preserve"> </w:t>
      </w:r>
      <w:r>
        <w:t xml:space="preserve">-</w:t>
      </w:r>
      <w:r>
        <w:t xml:space="preserve"> </w:t>
      </w:r>
      <w:hyperlink r:id="rId123">
        <w:r>
          <w:rPr>
            <w:rStyle w:val="Hyperlink"/>
          </w:rPr>
          <w:t xml:space="preserve">сохранение документа с карточкой</w:t>
        </w:r>
      </w:hyperlink>
      <w:r>
        <w:t xml:space="preserve"> </w:t>
      </w:r>
      <w:r>
        <w:t xml:space="preserve">[http://tdd.lan.arta.kz/docs/synergy/minsky/sdk-doc/swagger/#!/docflow/post_api_docflow_doc_save]</w:t>
      </w:r>
    </w:p>
    <w:p>
      <w:pPr>
        <w:numPr>
          <w:numId w:val="1054"/>
          <w:ilvl w:val="0"/>
        </w:numPr>
      </w:pPr>
      <w:r>
        <w:rPr>
          <w:rStyle w:val="VerbatimChar"/>
        </w:rPr>
        <w:t xml:space="preserve">rest/api/dictionary/record/edit</w:t>
      </w:r>
      <w:r>
        <w:t xml:space="preserve"> </w:t>
      </w:r>
      <w:r>
        <w:t xml:space="preserve">-</w:t>
      </w:r>
      <w:r>
        <w:t xml:space="preserve"> </w:t>
      </w:r>
      <w:hyperlink r:id="rId124">
        <w:r>
          <w:rPr>
            <w:rStyle w:val="Hyperlink"/>
          </w:rPr>
          <w:t xml:space="preserve">изменение записи справочника</w:t>
        </w:r>
      </w:hyperlink>
      <w:r>
        <w:t xml:space="preserve"> </w:t>
      </w:r>
      <w:r>
        <w:t xml:space="preserve">[http://tdd.lan.arta.kz/docs/synergy/minsky/sdk-doc/swagger/#!/dictionary/post_api_dictionary_records_save]</w:t>
      </w:r>
    </w:p>
    <w:p>
      <w:pPr>
        <w:pStyle w:val="FirstParagraph"/>
      </w:pPr>
      <w:r>
        <w:t xml:space="preserve">Реализованы новые события документов:</w:t>
      </w:r>
    </w:p>
    <w:p>
      <w:pPr>
        <w:numPr>
          <w:numId w:val="1055"/>
          <w:ilvl w:val="0"/>
        </w:numPr>
      </w:pPr>
      <w:r>
        <w:rPr>
          <w:rStyle w:val="VerbatimChar"/>
        </w:rPr>
        <w:t xml:space="preserve">event.docflow.document.change</w:t>
      </w:r>
      <w:r>
        <w:t xml:space="preserve"> </w:t>
      </w:r>
      <w:r>
        <w:t xml:space="preserve">- документ изменен</w:t>
      </w:r>
    </w:p>
    <w:p>
      <w:pPr>
        <w:numPr>
          <w:numId w:val="1055"/>
          <w:ilvl w:val="0"/>
        </w:numPr>
      </w:pPr>
      <w:r>
        <w:rPr>
          <w:rStyle w:val="VerbatimChar"/>
        </w:rPr>
        <w:t xml:space="preserve">event.docflow.document.changeRkk</w:t>
      </w:r>
      <w:r>
        <w:t xml:space="preserve"> </w:t>
      </w:r>
      <w:r>
        <w:t xml:space="preserve">- изменен РКК документа</w:t>
      </w:r>
    </w:p>
    <w:p>
      <w:pPr>
        <w:numPr>
          <w:numId w:val="1055"/>
          <w:ilvl w:val="0"/>
        </w:numPr>
      </w:pPr>
      <w:r>
        <w:rPr>
          <w:rStyle w:val="VerbatimChar"/>
        </w:rPr>
        <w:t xml:space="preserve">event.docflow.document.send.for.registration</w:t>
      </w:r>
      <w:r>
        <w:t xml:space="preserve"> </w:t>
      </w:r>
      <w:r>
        <w:t xml:space="preserve">- документ отправлен на регистрацию</w:t>
      </w:r>
    </w:p>
    <w:p>
      <w:pPr>
        <w:numPr>
          <w:numId w:val="1055"/>
          <w:ilvl w:val="0"/>
        </w:numPr>
      </w:pPr>
      <w:r>
        <w:rPr>
          <w:rStyle w:val="VerbatimChar"/>
        </w:rPr>
        <w:t xml:space="preserve">event.docflow.document.reject</w:t>
      </w:r>
      <w:r>
        <w:t xml:space="preserve"> </w:t>
      </w:r>
      <w:r>
        <w:t xml:space="preserve">- отказ в регистрации документа</w:t>
      </w:r>
    </w:p>
    <w:p>
      <w:pPr>
        <w:numPr>
          <w:numId w:val="1055"/>
          <w:ilvl w:val="0"/>
        </w:numPr>
      </w:pPr>
      <w:r>
        <w:rPr>
          <w:rStyle w:val="VerbatimChar"/>
        </w:rPr>
        <w:t xml:space="preserve">event.docflow.document.finished</w:t>
      </w:r>
      <w:r>
        <w:t xml:space="preserve"> </w:t>
      </w:r>
      <w:r>
        <w:t xml:space="preserve">- завершено исполнение документа</w:t>
      </w:r>
    </w:p>
    <w:bookmarkEnd w:id="125"/>
    <w:bookmarkStart w:id="135" w:name="doc-exchange.xhtml#id7"/>
    <w:p>
      <w:pPr>
        <w:pStyle w:val="Heading2"/>
      </w:pPr>
      <w:r>
        <w:t xml:space="preserve">4.2.2. Первичная настройка</w:t>
      </w:r>
    </w:p>
    <w:p>
      <w:pPr>
        <w:pStyle w:val="FirstParagraph"/>
      </w:pPr>
      <w:r>
        <w:t xml:space="preserve">После установки пакета</w:t>
      </w:r>
      <w:r>
        <w:t xml:space="preserve"> </w:t>
      </w:r>
      <w:r>
        <w:rPr>
          <w:rStyle w:val="VerbatimChar"/>
        </w:rPr>
        <w:t xml:space="preserve">arta-synergy-doc-exchange</w:t>
      </w:r>
      <w:r>
        <w:t xml:space="preserve"> </w:t>
      </w:r>
      <w:r>
        <w:t xml:space="preserve">нужно перейти по ссылке</w:t>
      </w:r>
      <w:r>
        <w:t xml:space="preserve"> </w:t>
      </w:r>
      <w:r>
        <w:rPr>
          <w:rStyle w:val="VerbatimChar"/>
        </w:rPr>
        <w:t xml:space="preserve">&lt;host&gt;:&lt;port&gt;/doc-exchange</w:t>
      </w:r>
      <w:r>
        <w:t xml:space="preserve"> </w:t>
      </w:r>
      <w:r>
        <w:t xml:space="preserve">и авторизоваться под пользователем с ролью</w:t>
      </w:r>
      <w:r>
        <w:t xml:space="preserve"> </w:t>
      </w:r>
      <w:r>
        <w:rPr>
          <w:b/>
        </w:rPr>
        <w:t xml:space="preserve">Synergy Developer</w:t>
      </w:r>
      <w:r>
        <w:t xml:space="preserve">:</w:t>
      </w:r>
    </w:p>
    <w:p>
      <w:pPr>
        <w:pStyle w:val="Compact"/>
      </w:pPr>
      <w:r>
        <w:drawing>
          <wp:inline>
            <wp:extent cx="3035300" cy="3136900"/>
            <wp:effectExtent b="0" l="0" r="0" t="0"/>
            <wp:docPr descr="../_images/image_8.png" title="" id="1" name="Picture"/>
            <a:graphic>
              <a:graphicData uri="http://schemas.openxmlformats.org/drawingml/2006/picture">
                <pic:pic>
                  <pic:nvPicPr>
                    <pic:cNvPr descr="_images/image_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успешной авторизации будет отображен модуль настройки обмена корреспонденцией. Этот модуль состоит из</w:t>
      </w:r>
      <w:r>
        <w:t xml:space="preserve"> </w:t>
      </w:r>
      <w:r>
        <w:t xml:space="preserve">двух основных частей:</w:t>
      </w:r>
    </w:p>
    <w:p>
      <w:pPr>
        <w:numPr>
          <w:numId w:val="1056"/>
          <w:ilvl w:val="0"/>
        </w:numPr>
      </w:pPr>
      <w:r>
        <w:t xml:space="preserve">«Корреспонденты», позволяющий настроить и синхронизировать список корреспондентов, которые будут обмениваться</w:t>
      </w:r>
      <w:r>
        <w:t xml:space="preserve"> </w:t>
      </w:r>
      <w:r>
        <w:t xml:space="preserve">документами</w:t>
      </w:r>
    </w:p>
    <w:p>
      <w:pPr>
        <w:numPr>
          <w:numId w:val="1056"/>
          <w:ilvl w:val="0"/>
        </w:numPr>
      </w:pPr>
      <w:r>
        <w:t xml:space="preserve">«Настройки», содержащий общие настройки модуля обмена документами.</w:t>
      </w:r>
    </w:p>
    <w:bookmarkStart w:id="131" w:name="doc-exchange.xhtml#id8"/>
    <w:p>
      <w:pPr>
        <w:pStyle w:val="Heading3"/>
      </w:pPr>
      <w:r>
        <w:t xml:space="preserve">4.2.2.1. Настройки модуля</w:t>
      </w:r>
    </w:p>
    <w:p>
      <w:pPr>
        <w:pStyle w:val="Compact"/>
      </w:pPr>
      <w:r>
        <w:drawing>
          <wp:inline>
            <wp:extent cx="5334000" cy="5008226"/>
            <wp:effectExtent b="0" l="0" r="0" t="0"/>
            <wp:docPr descr="../_images/image_52.png" title="" id="1" name="Picture"/>
            <a:graphic>
              <a:graphicData uri="http://schemas.openxmlformats.org/drawingml/2006/picture">
                <pic:pic>
                  <pic:nvPicPr>
                    <pic:cNvPr descr="_images/image_5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08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Этот раздел содержит подсказки по настройке форм для типов документов: описание и коды компонентов,</w:t>
      </w:r>
      <w:r>
        <w:t xml:space="preserve"> </w:t>
      </w:r>
      <w:r>
        <w:t xml:space="preserve">которые обязательно должны содержаться на форме.</w:t>
      </w:r>
    </w:p>
    <w:p>
      <w:pPr>
        <w:pStyle w:val="BodyText"/>
      </w:pPr>
      <w:r>
        <w:t xml:space="preserve">Все экземпляры Synergy, участвующие в обмене документами, должны иметь приложение с кодом, указанным в настройках.</w:t>
      </w:r>
      <w:r>
        <w:t xml:space="preserve"> </w:t>
      </w:r>
      <w:r>
        <w:t xml:space="preserve">В этом приложении будут содержаться справочники корреспондентов, типы документов и формы для них.</w:t>
      </w:r>
    </w:p>
    <w:p>
      <w:pPr>
        <w:pStyle w:val="BodyText"/>
      </w:pPr>
      <w:r>
        <w:t xml:space="preserve">Пользователь, указанный в настройках, должен иметь роли «Разработчик Synergy» и «Сотрудник канцелярии».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Если на стенде, где установлен doc-exchange, ранее уже был настроен DF-EX, необходимо убедиться, что</w:t>
      </w:r>
      <w:r>
        <w:t xml:space="preserve"> </w:t>
      </w:r>
      <w:r>
        <w:t xml:space="preserve">ни в одном из приложений в Synergy IDE нет справочника с кодом, указанным в настройке «Код справочника корреспондентов»</w:t>
      </w:r>
      <w:r>
        <w:t xml:space="preserve"> </w:t>
      </w:r>
      <w:r>
        <w:t xml:space="preserve">(для этого можно воспользоваться поиском по заголовку объекта):</w:t>
      </w:r>
    </w:p>
    <w:p>
      <w:pPr>
        <w:pStyle w:val="Compact"/>
      </w:pPr>
      <w:r>
        <w:drawing>
          <wp:inline>
            <wp:extent cx="5334000" cy="1747416"/>
            <wp:effectExtent b="0" l="0" r="0" t="0"/>
            <wp:docPr descr="../_images/image_75.png" title="" id="1" name="Picture"/>
            <a:graphic>
              <a:graphicData uri="http://schemas.openxmlformats.org/drawingml/2006/picture">
                <pic:pic>
                  <pic:nvPicPr>
                    <pic:cNvPr descr="_images/image_7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7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2441578"/>
            <wp:effectExtent b="0" l="0" r="0" t="0"/>
            <wp:docPr descr="../_images/image_76.png" title="" id="1" name="Picture"/>
            <a:graphic>
              <a:graphicData uri="http://schemas.openxmlformats.org/drawingml/2006/picture">
                <pic:pic>
                  <pic:nvPicPr>
                    <pic:cNvPr descr="_images/image_7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1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справочник с указанным кодом уже существует в одном из приложений, то нужно:</w:t>
      </w:r>
    </w:p>
    <w:p>
      <w:pPr>
        <w:numPr>
          <w:numId w:val="1057"/>
          <w:ilvl w:val="0"/>
        </w:numPr>
      </w:pPr>
      <w:r>
        <w:t xml:space="preserve">либо удалить этот справочник из приложения Synergy IDE;</w:t>
      </w:r>
    </w:p>
    <w:p>
      <w:pPr>
        <w:numPr>
          <w:numId w:val="1057"/>
          <w:ilvl w:val="0"/>
        </w:numPr>
      </w:pPr>
      <w:r>
        <w:t xml:space="preserve">либо в настройках doc-exchange указать другой код справочника корреспондентов.</w:t>
      </w:r>
    </w:p>
    <w:p>
      <w:pPr>
        <w:pStyle w:val="FirstParagraph"/>
      </w:pPr>
      <w:r>
        <w:t xml:space="preserve">Например:</w:t>
      </w:r>
    </w:p>
    <w:p>
      <w:pPr>
        <w:pStyle w:val="Compact"/>
      </w:pPr>
      <w:r>
        <w:drawing>
          <wp:inline>
            <wp:extent cx="5334000" cy="1751273"/>
            <wp:effectExtent b="0" l="0" r="0" t="0"/>
            <wp:docPr descr="../_images/image_77.png" title="" id="1" name="Picture"/>
            <a:graphic>
              <a:graphicData uri="http://schemas.openxmlformats.org/drawingml/2006/picture">
                <pic:pic>
                  <pic:nvPicPr>
                    <pic:cNvPr descr="_images/image_7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51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этом же разделе указываются настройки отправки документов:</w:t>
      </w:r>
    </w:p>
    <w:p>
      <w:pPr>
        <w:numPr>
          <w:numId w:val="1058"/>
          <w:ilvl w:val="0"/>
        </w:numPr>
      </w:pPr>
      <w:r>
        <w:t xml:space="preserve">Интервал повторной отправки (по умолчанию - 600000мс)</w:t>
      </w:r>
    </w:p>
    <w:p>
      <w:pPr>
        <w:numPr>
          <w:numId w:val="1058"/>
          <w:ilvl w:val="0"/>
        </w:numPr>
      </w:pPr>
      <w:r>
        <w:t xml:space="preserve">Количество попыток отправки (по умолчанию - 6 попыток)</w:t>
      </w:r>
    </w:p>
    <w:p>
      <w:pPr>
        <w:numPr>
          <w:numId w:val="1058"/>
          <w:ilvl w:val="0"/>
        </w:numPr>
      </w:pPr>
      <w:r>
        <w:t xml:space="preserve">Отправлять печатное представление файлов по форме</w:t>
      </w:r>
    </w:p>
    <w:p>
      <w:pPr>
        <w:numPr>
          <w:numId w:val="1058"/>
          <w:ilvl w:val="0"/>
        </w:numPr>
      </w:pPr>
      <w:r>
        <w:t xml:space="preserve">Отправлять прочие файлы</w:t>
      </w:r>
    </w:p>
    <w:p>
      <w:pPr>
        <w:numPr>
          <w:numId w:val="1058"/>
          <w:ilvl w:val="0"/>
        </w:numPr>
      </w:pPr>
      <w:r>
        <w:t xml:space="preserve">Отправлять ход исполнения исходящего документа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Флаг «Отправлять ход исполнения исходящего документа» заменяет собой флаг «Синхронизировать ход</w:t>
      </w:r>
      <w:r>
        <w:t xml:space="preserve"> </w:t>
      </w:r>
      <w:r>
        <w:t xml:space="preserve">выполнения по входящему документу», который использовался в модуле DF-EX.</w:t>
      </w:r>
    </w:p>
    <w:bookmarkEnd w:id="131"/>
    <w:bookmarkStart w:id="134" w:name="doc-exchange.xhtml#id9"/>
    <w:p>
      <w:pPr>
        <w:pStyle w:val="Heading3"/>
      </w:pPr>
      <w:r>
        <w:t xml:space="preserve">4.2.2.2. Начало работы</w:t>
      </w:r>
    </w:p>
    <w:p>
      <w:pPr>
        <w:pStyle w:val="FirstParagraph"/>
      </w:pPr>
      <w:r>
        <w:t xml:space="preserve">При подключении нового экземпляра Synergy к обмену документами, в том числе и при первичной настройке этого обмена,</w:t>
      </w:r>
      <w:r>
        <w:t xml:space="preserve"> </w:t>
      </w:r>
      <w:r>
        <w:t xml:space="preserve">необходимо:</w:t>
      </w:r>
    </w:p>
    <w:p>
      <w:pPr>
        <w:numPr>
          <w:numId w:val="1059"/>
          <w:ilvl w:val="0"/>
        </w:numPr>
      </w:pPr>
      <w:r>
        <w:t xml:space="preserve">Определить приложение Synergy (в Synergy IDE), в котором будут собраны журналы и типы документов, участвующие в обмене,</w:t>
      </w:r>
      <w:r>
        <w:t xml:space="preserve"> </w:t>
      </w:r>
      <w:r>
        <w:t xml:space="preserve">или создать такое приложение. Указать его код в настройках doc-exchange.</w:t>
      </w:r>
    </w:p>
    <w:p>
      <w:pPr>
        <w:numPr>
          <w:numId w:val="1059"/>
          <w:ilvl w:val="0"/>
        </w:numPr>
      </w:pPr>
      <w:r>
        <w:t xml:space="preserve">В приложении настроить объекты:</w:t>
      </w:r>
    </w:p>
    <w:p>
      <w:pPr>
        <w:pStyle w:val="BlockText"/>
        <w:numPr>
          <w:numId w:val="1060"/>
          <w:ilvl w:val="1"/>
        </w:numPr>
      </w:pPr>
      <w:r>
        <w:t xml:space="preserve">журналы для входящих и исходящих документов</w:t>
      </w:r>
    </w:p>
    <w:p>
      <w:pPr>
        <w:pStyle w:val="BlockText"/>
        <w:numPr>
          <w:numId w:val="1060"/>
          <w:ilvl w:val="1"/>
        </w:numPr>
      </w:pPr>
      <w:r>
        <w:t xml:space="preserve">форму для исходящих документов, содержащую компонент «Выпадающий список» с идентификатором</w:t>
      </w:r>
      <w:r>
        <w:t xml:space="preserve"> </w:t>
      </w:r>
      <w:r>
        <w:rPr>
          <w:rStyle w:val="VerbatimChar"/>
        </w:rPr>
        <w:t xml:space="preserve">exchangeCorrespondent</w:t>
      </w:r>
    </w:p>
    <w:p>
      <w:pPr>
        <w:pStyle w:val="BlockText"/>
        <w:pStyle w:val="BlockText"/>
        <w:numPr>
          <w:numId w:val="1000"/>
          <w:ilvl w:val="1"/>
        </w:numPr>
      </w:pPr>
      <w:r>
        <w:t xml:space="preserve">Подсказка</w:t>
      </w:r>
    </w:p>
    <w:p>
      <w:pPr>
        <w:pStyle w:val="BlockText"/>
        <w:pStyle w:val="BlockText"/>
        <w:numPr>
          <w:numId w:val="1000"/>
          <w:ilvl w:val="1"/>
        </w:numPr>
      </w:pPr>
      <w:r>
        <w:t xml:space="preserve">Если предполагается отправка документа нескольким корреспондентам, то на форму можно добавить динамическую</w:t>
      </w:r>
      <w:r>
        <w:t xml:space="preserve"> </w:t>
      </w:r>
      <w:r>
        <w:t xml:space="preserve">таблицу с произвольным кодом, а в ней разместить выпадающий список</w:t>
      </w:r>
      <w:r>
        <w:t xml:space="preserve"> </w:t>
      </w:r>
      <w:r>
        <w:rPr>
          <w:rStyle w:val="VerbatimChar"/>
        </w:rPr>
        <w:t xml:space="preserve">exchangeCorrespondent</w:t>
      </w:r>
      <w:r>
        <w:t xml:space="preserve">.</w:t>
      </w:r>
    </w:p>
    <w:p>
      <w:pPr>
        <w:pStyle w:val="BlockText"/>
        <w:numPr>
          <w:numId w:val="1060"/>
          <w:ilvl w:val="1"/>
        </w:numPr>
      </w:pPr>
      <w:r>
        <w:t xml:space="preserve">форму для входящих документов, содержащую компоненты:</w:t>
      </w:r>
    </w:p>
    <w:p>
      <w:pPr>
        <w:pStyle w:val="BlockText"/>
        <w:numPr>
          <w:numId w:val="1061"/>
          <w:ilvl w:val="2"/>
        </w:numPr>
      </w:pPr>
      <w:r>
        <w:t xml:space="preserve">поле «Выпадающий список» с идентификатором</w:t>
      </w:r>
      <w:r>
        <w:t xml:space="preserve"> </w:t>
      </w:r>
      <w:r>
        <w:rPr>
          <w:rStyle w:val="VerbatimChar"/>
        </w:rPr>
        <w:t xml:space="preserve">exchangeCorrespondent</w:t>
      </w:r>
      <w:r>
        <w:t xml:space="preserve">, заблокированное от изменения пользователем</w:t>
      </w:r>
    </w:p>
    <w:p>
      <w:pPr>
        <w:pStyle w:val="BlockText"/>
        <w:numPr>
          <w:numId w:val="1061"/>
          <w:ilvl w:val="2"/>
        </w:numPr>
      </w:pPr>
      <w:r>
        <w:t xml:space="preserve">поле «Выпадающий список» с идентификатором</w:t>
      </w:r>
      <w:r>
        <w:t xml:space="preserve"> </w:t>
      </w:r>
      <w:r>
        <w:rPr>
          <w:rStyle w:val="VerbatimChar"/>
        </w:rPr>
        <w:t xml:space="preserve">exchangeAuthorCorrespondent</w:t>
      </w:r>
      <w:r>
        <w:t xml:space="preserve">, заблокированное от изменения пользователем</w:t>
      </w:r>
    </w:p>
    <w:p>
      <w:pPr>
        <w:pStyle w:val="BlockText"/>
        <w:numPr>
          <w:numId w:val="1061"/>
          <w:ilvl w:val="2"/>
        </w:numPr>
      </w:pPr>
      <w:r>
        <w:t xml:space="preserve">поле «Однострочный текст» с идентификатором</w:t>
      </w:r>
      <w:r>
        <w:t xml:space="preserve"> </w:t>
      </w:r>
      <w:r>
        <w:rPr>
          <w:rStyle w:val="VerbatimChar"/>
        </w:rPr>
        <w:t xml:space="preserve">srcDocumentId</w:t>
      </w:r>
      <w:r>
        <w:t xml:space="preserve">, скрытое</w:t>
      </w:r>
    </w:p>
    <w:p>
      <w:pPr>
        <w:pStyle w:val="BlockText"/>
        <w:numPr>
          <w:numId w:val="1060"/>
          <w:ilvl w:val="1"/>
        </w:numPr>
      </w:pPr>
      <w:r>
        <w:t xml:space="preserve">входящий тип документа, для которого указана настроенная дополнительная форма входящих документов</w:t>
      </w:r>
    </w:p>
    <w:p>
      <w:pPr>
        <w:pStyle w:val="BlockText"/>
        <w:pStyle w:val="BlockText"/>
        <w:numPr>
          <w:numId w:val="1000"/>
          <w:ilvl w:val="1"/>
        </w:numPr>
      </w:pPr>
      <w:r>
        <w:t xml:space="preserve">Внимание</w:t>
      </w:r>
    </w:p>
    <w:p>
      <w:pPr>
        <w:pStyle w:val="BlockText"/>
        <w:pStyle w:val="BlockText"/>
        <w:numPr>
          <w:numId w:val="1000"/>
          <w:ilvl w:val="1"/>
        </w:numPr>
      </w:pPr>
      <w:r>
        <w:t xml:space="preserve">В типе документа в поле «Способ ввода срока» должен быть выбран вариант «Длительность». В противном случае</w:t>
      </w:r>
      <w:r>
        <w:t xml:space="preserve"> </w:t>
      </w:r>
      <w:r>
        <w:t xml:space="preserve">обмен документами работать не будет.</w:t>
      </w:r>
    </w:p>
    <w:p>
      <w:pPr>
        <w:pStyle w:val="BlockText"/>
        <w:numPr>
          <w:numId w:val="1060"/>
          <w:ilvl w:val="1"/>
        </w:numPr>
      </w:pPr>
      <w:r>
        <w:t xml:space="preserve">исходящие типы документов, для каждого из которых указана дополнительная форма исходящих документов</w:t>
      </w:r>
    </w:p>
    <w:p>
      <w:pPr>
        <w:numPr>
          <w:numId w:val="1059"/>
          <w:ilvl w:val="0"/>
        </w:numPr>
      </w:pPr>
      <w:r>
        <w:t xml:space="preserve">В интерфейсе doc-exchange, раздел «Корреспонденты», указать первого корреспондента - собственный экземпляр Synergy:</w:t>
      </w:r>
    </w:p>
    <w:p>
      <w:pPr>
        <w:pStyle w:val="BlockText"/>
        <w:numPr>
          <w:numId w:val="1062"/>
          <w:ilvl w:val="1"/>
        </w:numPr>
      </w:pPr>
      <w:r>
        <w:t xml:space="preserve">код - уникальный код корреспондента</w:t>
      </w:r>
    </w:p>
    <w:p>
      <w:pPr>
        <w:pStyle w:val="BlockText"/>
        <w:numPr>
          <w:numId w:val="1062"/>
          <w:ilvl w:val="1"/>
        </w:numPr>
      </w:pPr>
      <w:r>
        <w:t xml:space="preserve">наименование корреспондента на трех языках</w:t>
      </w:r>
    </w:p>
    <w:p>
      <w:pPr>
        <w:pStyle w:val="BlockText"/>
        <w:numPr>
          <w:numId w:val="1062"/>
          <w:ilvl w:val="1"/>
        </w:numPr>
      </w:pPr>
      <w:r>
        <w:t xml:space="preserve">URL Synergy в формате</w:t>
      </w:r>
      <w:r>
        <w:t xml:space="preserve"> </w:t>
      </w:r>
      <w:r>
        <w:rPr>
          <w:rStyle w:val="VerbatimChar"/>
        </w:rPr>
        <w:t xml:space="preserve">http(s)://&lt;host&gt;:&lt;port&gt;/Synergy</w:t>
      </w:r>
      <w:r>
        <w:t xml:space="preserve"> </w:t>
      </w:r>
      <w:r>
        <w:t xml:space="preserve">- указать хост и порт текущего экземпляра Synergy</w:t>
      </w:r>
    </w:p>
    <w:p>
      <w:pPr>
        <w:pStyle w:val="BlockText"/>
        <w:numPr>
          <w:numId w:val="1062"/>
          <w:ilvl w:val="1"/>
        </w:numPr>
      </w:pPr>
      <w:r>
        <w:t xml:space="preserve">URL doc-exchange в формате</w:t>
      </w:r>
      <w:r>
        <w:t xml:space="preserve"> </w:t>
      </w:r>
      <w:r>
        <w:rPr>
          <w:rStyle w:val="VerbatimChar"/>
        </w:rPr>
        <w:t xml:space="preserve">http(s)://&lt;host&gt;:&lt;port&gt;/doc-exchange</w:t>
      </w:r>
    </w:p>
    <w:p>
      <w:pPr>
        <w:pStyle w:val="BlockText"/>
        <w:numPr>
          <w:numId w:val="1062"/>
          <w:ilvl w:val="1"/>
        </w:numPr>
      </w:pPr>
      <w:r>
        <w:t xml:space="preserve">логин и пароль пользователя этого экземпляра Synergy, у которого есть роли «Сотрудник канцелярии» и «Разработчик Synergy»</w:t>
      </w:r>
    </w:p>
    <w:p>
      <w:pPr>
        <w:pStyle w:val="BlockText"/>
        <w:numPr>
          <w:numId w:val="1062"/>
          <w:ilvl w:val="1"/>
        </w:numPr>
      </w:pPr>
      <w:r>
        <w:t xml:space="preserve">код входящего типа документа, созданного в Synergy IDE</w:t>
      </w:r>
    </w:p>
    <w:p>
      <w:pPr>
        <w:pStyle w:val="BlockText"/>
        <w:numPr>
          <w:numId w:val="1062"/>
          <w:ilvl w:val="1"/>
        </w:numPr>
      </w:pPr>
      <w:r>
        <w:t xml:space="preserve">коды исходящих типов документов, созданных в Synergy IDE (если типов исходящих документов несколько, можно перечислить</w:t>
      </w:r>
      <w:r>
        <w:t xml:space="preserve"> </w:t>
      </w:r>
      <w:r>
        <w:t xml:space="preserve">их коды через запятую)</w:t>
      </w:r>
    </w:p>
    <w:p>
      <w:pPr>
        <w:pStyle w:val="BlockText"/>
        <w:numPr>
          <w:numId w:val="1000"/>
          <w:ilvl w:val="0"/>
        </w:numPr>
      </w:pPr>
      <w:r>
        <w:t xml:space="preserve">Пример заполнения сведений о корреспонденте: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6443816"/>
            <wp:effectExtent b="0" l="0" r="0" t="0"/>
            <wp:docPr descr="../_images/image_56.png" title="" id="1" name="Picture"/>
            <a:graphic>
              <a:graphicData uri="http://schemas.openxmlformats.org/drawingml/2006/picture">
                <pic:pic>
                  <pic:nvPicPr>
                    <pic:cNvPr descr="_images/image_5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43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59"/>
          <w:ilvl w:val="0"/>
        </w:numPr>
      </w:pPr>
      <w:r>
        <w:t xml:space="preserve">Сохранить внесенные сведения, нажав на кнопку «Сохранить».</w:t>
      </w:r>
    </w:p>
    <w:p>
      <w:pPr>
        <w:pStyle w:val="BlockText"/>
        <w:numPr>
          <w:numId w:val="1000"/>
          <w:ilvl w:val="0"/>
        </w:numPr>
      </w:pPr>
      <w:r>
        <w:t xml:space="preserve">Корреспондент будет добавлен в общий список корреспондентов. При этом в указанном приложении Synergy IDE будет создан справочник</w:t>
      </w:r>
      <w:r>
        <w:t xml:space="preserve"> </w:t>
      </w:r>
      <w:r>
        <w:t xml:space="preserve">корреспондентов, содержащий один элемент - текущего корреспондента.</w:t>
      </w:r>
    </w:p>
    <w:p>
      <w:pPr>
        <w:numPr>
          <w:numId w:val="1059"/>
          <w:ilvl w:val="0"/>
        </w:numPr>
      </w:pPr>
      <w:r>
        <w:t xml:space="preserve">В Synergy IDE в формах для входящих и исходящих документов, созданных на шаге 2, в свойствах</w:t>
      </w:r>
      <w:r>
        <w:t xml:space="preserve"> </w:t>
      </w:r>
      <w:r>
        <w:rPr>
          <w:rStyle w:val="VerbatimChar"/>
        </w:rPr>
        <w:t xml:space="preserve">exchangeCorrespondent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exchangeAuthorCorrespondent</w:t>
      </w:r>
      <w:r>
        <w:t xml:space="preserve"> </w:t>
      </w:r>
      <w:r>
        <w:t xml:space="preserve">указать справочник «Справочник корреспондентов организаций»; в качестве значения компонента</w:t>
      </w:r>
      <w:r>
        <w:t xml:space="preserve"> </w:t>
      </w:r>
      <w:r>
        <w:t xml:space="preserve">указать колонку «Код»: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351934"/>
            <wp:effectExtent b="0" l="0" r="0" t="0"/>
            <wp:docPr descr="../_images/image_57.png" title="" id="1" name="Picture"/>
            <a:graphic>
              <a:graphicData uri="http://schemas.openxmlformats.org/drawingml/2006/picture">
                <pic:pic>
                  <pic:nvPicPr>
                    <pic:cNvPr descr="_images/image_5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1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Далее можно приступать к добавлению новых корреспондентов.</w:t>
      </w:r>
    </w:p>
    <w:bookmarkEnd w:id="134"/>
    <w:bookmarkEnd w:id="135"/>
    <w:bookmarkStart w:id="140" w:name="doc-exchange.xhtml#id10"/>
    <w:p>
      <w:pPr>
        <w:pStyle w:val="Heading2"/>
      </w:pPr>
      <w:r>
        <w:t xml:space="preserve">4.2.3. Добавление нового корреспондента</w:t>
      </w:r>
    </w:p>
    <w:p>
      <w:pPr>
        <w:pStyle w:val="FirstParagraph"/>
      </w:pPr>
      <w:r>
        <w:t xml:space="preserve">Корреспонденты могут располагаться как на одном и том же экземпляре Synergy, так и на отдельных (в случае, если документы должны</w:t>
      </w:r>
      <w:r>
        <w:t xml:space="preserve"> </w:t>
      </w:r>
      <w:r>
        <w:t xml:space="preserve">передаваться между разными Synergy, имеющими разные URL). С точки зрения doc-exchange никакой разницы между этими вариантами нет.</w:t>
      </w:r>
    </w:p>
    <w:p>
      <w:pPr>
        <w:pStyle w:val="BodyText"/>
      </w:pPr>
      <w:r>
        <w:t xml:space="preserve">В общем случае процесс настройки нового корреспондента начинается в Synergy IDE:</w:t>
      </w:r>
    </w:p>
    <w:p>
      <w:pPr>
        <w:numPr>
          <w:numId w:val="1063"/>
          <w:ilvl w:val="0"/>
        </w:numPr>
      </w:pPr>
      <w:r>
        <w:t xml:space="preserve">в приложении с кодом, указанным в настройках doc-exchange, нужно создать тип входящего документа, указав для него дополнительную</w:t>
      </w:r>
      <w:r>
        <w:t xml:space="preserve"> </w:t>
      </w:r>
      <w:r>
        <w:t xml:space="preserve">форму для входящего документа</w:t>
      </w:r>
    </w:p>
    <w:p>
      <w:pPr>
        <w:numPr>
          <w:numId w:val="1063"/>
          <w:ilvl w:val="0"/>
        </w:numPr>
      </w:pPr>
      <w:r>
        <w:t xml:space="preserve">в этом же приложении создать типы исходящих документов (один или несколько), указав для них дополнительную форму исходящего</w:t>
      </w:r>
      <w:r>
        <w:t xml:space="preserve"> </w:t>
      </w:r>
      <w:r>
        <w:t xml:space="preserve">документа</w:t>
      </w:r>
    </w:p>
    <w:p>
      <w:pPr>
        <w:pStyle w:val="BlockText"/>
        <w:numPr>
          <w:numId w:val="1000"/>
          <w:ilvl w:val="0"/>
        </w:numPr>
      </w:pPr>
      <w:r>
        <w:t xml:space="preserve">Внимание</w:t>
      </w:r>
    </w:p>
    <w:p>
      <w:pPr>
        <w:pStyle w:val="BlockText"/>
        <w:numPr>
          <w:numId w:val="1000"/>
          <w:ilvl w:val="0"/>
        </w:numPr>
      </w:pPr>
      <w:r>
        <w:t xml:space="preserve">Каждый корреспондент независимо от того, расположен он на общем с другими корреспондентами экземпляре Synergy или</w:t>
      </w:r>
      <w:r>
        <w:t xml:space="preserve"> </w:t>
      </w:r>
      <w:r>
        <w:t xml:space="preserve">на отдельном, должен иметь уникальные коды типов документов.</w:t>
      </w:r>
    </w:p>
    <w:p>
      <w:pPr>
        <w:numPr>
          <w:numId w:val="1063"/>
          <w:ilvl w:val="0"/>
        </w:numPr>
      </w:pPr>
      <w:r>
        <w:t xml:space="preserve">в интерфейсе doc-exchange добавить нового корреспондента:</w:t>
      </w:r>
    </w:p>
    <w:bookmarkStart w:id="137" w:name="doc-exchange.xhtml#id16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6433439"/>
            <wp:effectExtent b="0" l="0" r="0" t="0"/>
            <wp:docPr descr="../_images/image_58.png" title="" id="1" name="Picture"/>
            <a:graphic>
              <a:graphicData uri="http://schemas.openxmlformats.org/drawingml/2006/picture">
                <pic:pic>
                  <pic:nvPicPr>
                    <pic:cNvPr descr="_images/image_5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3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В данном случае, находясь на Synergy</w:t>
      </w:r>
      <w:r>
        <w:t xml:space="preserve"> </w:t>
      </w:r>
      <w:r>
        <w:rPr>
          <w:rStyle w:val="VerbatimChar"/>
        </w:rPr>
        <w:t xml:space="preserve">http://192.168.3.224:8080</w:t>
      </w:r>
      <w:r>
        <w:t xml:space="preserve">, указываем корреспондента</w:t>
      </w:r>
      <w:r>
        <w:t xml:space="preserve"> </w:t>
      </w:r>
      <w:r>
        <w:rPr>
          <w:rStyle w:val="VerbatimChar"/>
        </w:rPr>
        <w:t xml:space="preserve">syn2</w:t>
      </w:r>
      <w:r>
        <w:t xml:space="preserve"> </w:t>
      </w:r>
      <w:r>
        <w:t xml:space="preserve">с другого экземпляра</w:t>
      </w:r>
      <w:r>
        <w:t xml:space="preserve"> </w:t>
      </w:r>
      <w:r>
        <w:rPr>
          <w:rStyle w:val="VerbatimChar"/>
        </w:rPr>
        <w:t xml:space="preserve">http://192.168.4.40:8080</w:t>
      </w:r>
      <w:r>
        <w:t xml:space="preserve">, где также установлен пакет</w:t>
      </w:r>
      <w:r>
        <w:t xml:space="preserve"> </w:t>
      </w:r>
      <w:r>
        <w:rPr>
          <w:rStyle w:val="VerbatimChar"/>
        </w:rPr>
        <w:t xml:space="preserve">arta-synergy-doc-exchange</w:t>
      </w:r>
      <w:r>
        <w:t xml:space="preserve">, приложение Synergy IDE со специальными</w:t>
      </w:r>
      <w:r>
        <w:t xml:space="preserve"> </w:t>
      </w:r>
      <w:r>
        <w:t xml:space="preserve">формами входящих и исходящих типов документов.</w:t>
      </w:r>
    </w:p>
    <w:bookmarkEnd w:id="137"/>
    <w:bookmarkStart w:id="139" w:name="doc-exchange.xhtml#id17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6488694"/>
            <wp:effectExtent b="0" l="0" r="0" t="0"/>
            <wp:docPr descr="../_images/image_59.png" title="" id="1" name="Picture"/>
            <a:graphic>
              <a:graphicData uri="http://schemas.openxmlformats.org/drawingml/2006/picture">
                <pic:pic>
                  <pic:nvPicPr>
                    <pic:cNvPr descr="_images/image_5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88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Экземпляр Synergy</w:t>
      </w:r>
      <w:r>
        <w:t xml:space="preserve"> </w:t>
      </w:r>
      <w:r>
        <w:rPr>
          <w:rStyle w:val="VerbatimChar"/>
        </w:rPr>
        <w:t xml:space="preserve">http://192.168.4.40:8080</w:t>
      </w:r>
      <w:r>
        <w:t xml:space="preserve"> </w:t>
      </w:r>
      <w:r>
        <w:t xml:space="preserve">содержит еще одного корреспондента с собственными типами входящих и исходящих</w:t>
      </w:r>
      <w:r>
        <w:t xml:space="preserve"> </w:t>
      </w:r>
      <w:r>
        <w:t xml:space="preserve">документов, с уникальным кодом</w:t>
      </w:r>
      <w:r>
        <w:t xml:space="preserve"> </w:t>
      </w:r>
      <w:r>
        <w:rPr>
          <w:rStyle w:val="VerbatimChar"/>
        </w:rPr>
        <w:t xml:space="preserve">syn2_filial</w:t>
      </w:r>
      <w:r>
        <w:t xml:space="preserve">, но общими URL Synergy и doc-exchange.</w:t>
      </w:r>
    </w:p>
    <w:bookmarkEnd w:id="139"/>
    <w:bookmarkEnd w:id="140"/>
    <w:bookmarkStart w:id="142" w:name="doc-exchange.xhtml#id11"/>
    <w:p>
      <w:pPr>
        <w:pStyle w:val="Heading2"/>
      </w:pPr>
      <w:r>
        <w:t xml:space="preserve">4.2.4. Группы корреспондентов</w:t>
      </w:r>
    </w:p>
    <w:p>
      <w:pPr>
        <w:pStyle w:val="FirstParagraph"/>
      </w:pPr>
      <w:r>
        <w:t xml:space="preserve">Часто возникает потребность отправки документа одновременно нескольким корреспондентам. Для случая, когда набор корреспондентов постоянный</w:t>
      </w:r>
      <w:r>
        <w:t xml:space="preserve"> </w:t>
      </w:r>
      <w:r>
        <w:t xml:space="preserve">(например, в случае отправки документа из Центрального аппарата всем филиалам), удобно использовать</w:t>
      </w:r>
      <w:r>
        <w:t xml:space="preserve"> </w:t>
      </w:r>
      <w:r>
        <w:rPr>
          <w:b/>
        </w:rPr>
        <w:t xml:space="preserve">группы корреспондентов</w:t>
      </w:r>
      <w:r>
        <w:t xml:space="preserve">.</w:t>
      </w:r>
    </w:p>
    <w:p>
      <w:pPr>
        <w:pStyle w:val="BodyText"/>
      </w:pPr>
      <w:r>
        <w:t xml:space="preserve">Группы добавляются таким же образом, что и корреспонденты. В диалоге настройки корреспондента необходимо включить флаг «Является группой».</w:t>
      </w:r>
      <w:r>
        <w:t xml:space="preserve"> </w:t>
      </w:r>
      <w:r>
        <w:t xml:space="preserve">После этого необходимо будет отметить тех корреспондентов, которые будут входить в группу:</w:t>
      </w:r>
    </w:p>
    <w:p>
      <w:pPr>
        <w:pStyle w:val="Compact"/>
        <w:pStyle w:val="BlockText"/>
      </w:pPr>
      <w:r>
        <w:drawing>
          <wp:inline>
            <wp:extent cx="5334000" cy="4333875"/>
            <wp:effectExtent b="0" l="0" r="0" t="0"/>
            <wp:docPr descr="../_images/image_60.png" title="" id="1" name="Picture"/>
            <a:graphic>
              <a:graphicData uri="http://schemas.openxmlformats.org/drawingml/2006/picture">
                <pic:pic>
                  <pic:nvPicPr>
                    <pic:cNvPr descr="_images/image_6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42"/>
    <w:bookmarkStart w:id="168" w:name="doc-exchange.xhtml#id12"/>
    <w:p>
      <w:pPr>
        <w:pStyle w:val="Heading2"/>
      </w:pPr>
      <w:r>
        <w:t xml:space="preserve">4.2.5. Синхронизация</w:t>
      </w:r>
    </w:p>
    <w:p>
      <w:pPr>
        <w:pStyle w:val="FirstParagraph"/>
      </w:pPr>
      <w:r>
        <w:t xml:space="preserve">Обмен документами посредством doc-exchange построен на том, что у каждого корреспондента, участвующего в обмене, есть доступ к общему</w:t>
      </w:r>
      <w:r>
        <w:t xml:space="preserve"> </w:t>
      </w:r>
      <w:r>
        <w:t xml:space="preserve">справочнику корреспондентов и одному и тому же набору его элементов. В терминах Synergy синхронизация корреспондентов - это приведение</w:t>
      </w:r>
      <w:r>
        <w:t xml:space="preserve"> </w:t>
      </w:r>
      <w:r>
        <w:t xml:space="preserve">элементов справочника корреспондентов к одному и тому же состоянию на всех экземплярах Synergy, участвующих в обмене.</w:t>
      </w:r>
    </w:p>
    <w:p>
      <w:pPr>
        <w:pStyle w:val="BodyText"/>
      </w:pPr>
      <w:r>
        <w:t xml:space="preserve">Примечание</w:t>
      </w:r>
    </w:p>
    <w:p>
      <w:pPr>
        <w:numPr>
          <w:numId w:val="1064"/>
          <w:ilvl w:val="0"/>
        </w:numPr>
      </w:pPr>
      <w:r>
        <w:t xml:space="preserve">Синхронизация необходима только в том случае, когда в обмене документами участвуют организации, расположенные по разным URL</w:t>
      </w:r>
      <w:r>
        <w:t xml:space="preserve"> </w:t>
      </w:r>
      <w:r>
        <w:t xml:space="preserve">Synergy. Если все корреспонденты расположены на одном и том же экземпляре Synergy, то выполнение синхронизации не требуется.</w:t>
      </w:r>
    </w:p>
    <w:p>
      <w:pPr>
        <w:numPr>
          <w:numId w:val="1064"/>
          <w:ilvl w:val="0"/>
        </w:numPr>
      </w:pPr>
      <w:r>
        <w:t xml:space="preserve">Группы корреспондентов не синхронизируются.</w:t>
      </w:r>
    </w:p>
    <w:p>
      <w:pPr>
        <w:pStyle w:val="FirstParagraph"/>
      </w:pPr>
      <w:r>
        <w:t xml:space="preserve">Для корректной синхронизации рекомендутся:</w:t>
      </w:r>
    </w:p>
    <w:p>
      <w:pPr>
        <w:numPr>
          <w:numId w:val="1065"/>
          <w:ilvl w:val="0"/>
        </w:numPr>
      </w:pPr>
      <w:r>
        <w:t xml:space="preserve">на одном экземпляре Synergy (в интерфейсе doc-exchange) добавить сведения обо всех корреспондентах, включая тех, что</w:t>
      </w:r>
      <w:r>
        <w:t xml:space="preserve"> </w:t>
      </w:r>
      <w:r>
        <w:t xml:space="preserve">расположены на текущем стенде</w:t>
      </w:r>
    </w:p>
    <w:p>
      <w:pPr>
        <w:numPr>
          <w:numId w:val="1065"/>
          <w:ilvl w:val="0"/>
        </w:numPr>
      </w:pPr>
      <w:r>
        <w:t xml:space="preserve">нажать на кнопку «Синхронизировать»</w:t>
      </w:r>
    </w:p>
    <w:p>
      <w:pPr>
        <w:pStyle w:val="BlockText"/>
        <w:pStyle w:val="BlockText"/>
        <w:numPr>
          <w:numId w:val="1000"/>
          <w:ilvl w:val="0"/>
        </w:numPr>
      </w:pPr>
      <w:r>
        <w:t xml:space="preserve">Внимание</w:t>
      </w:r>
    </w:p>
    <w:p>
      <w:pPr>
        <w:pStyle w:val="BlockText"/>
        <w:pStyle w:val="BlockText"/>
        <w:numPr>
          <w:numId w:val="1000"/>
          <w:ilvl w:val="0"/>
        </w:numPr>
      </w:pPr>
      <w:r>
        <w:t xml:space="preserve">Предварительно необходимо убедиться, что на каждом экземпляре Synergy, где расположены указанные корреспонденты,</w:t>
      </w:r>
      <w:r>
        <w:t xml:space="preserve"> </w:t>
      </w:r>
      <w:r>
        <w:t xml:space="preserve">установлен пакет</w:t>
      </w:r>
      <w:r>
        <w:t xml:space="preserve"> </w:t>
      </w:r>
      <w:r>
        <w:rPr>
          <w:rStyle w:val="VerbatimChar"/>
        </w:rPr>
        <w:t xml:space="preserve">arta-synergy-doc-exchange</w:t>
      </w:r>
      <w:r>
        <w:t xml:space="preserve">.</w:t>
      </w:r>
    </w:p>
    <w:p>
      <w:pPr>
        <w:pStyle w:val="BlockText"/>
        <w:numPr>
          <w:numId w:val="1000"/>
          <w:ilvl w:val="0"/>
        </w:numPr>
      </w:pPr>
      <w:r>
        <w:t xml:space="preserve">В случае успешной синхронизации в списке корреспондентов будут указаны дата и время последней синхронизации: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1881112"/>
            <wp:effectExtent b="0" l="0" r="0" t="0"/>
            <wp:docPr descr="../_images/image_61.png" title="" id="1" name="Picture"/>
            <a:graphic>
              <a:graphicData uri="http://schemas.openxmlformats.org/drawingml/2006/picture">
                <pic:pic>
                  <pic:nvPicPr>
                    <pic:cNvPr descr="_images/image_6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1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65"/>
          <w:ilvl w:val="0"/>
        </w:numPr>
      </w:pPr>
      <w:r>
        <w:t xml:space="preserve">открыть интерфейс doc-exchange на другом экземпляре Synergy: список корреспондентов будет содержать синхронизированные элементы,</w:t>
      </w:r>
      <w:r>
        <w:t xml:space="preserve"> </w:t>
      </w:r>
      <w:r>
        <w:t xml:space="preserve">настроенные на исходном стенде.</w:t>
      </w:r>
    </w:p>
    <w:bookmarkStart w:id="167" w:name="doc-exchange.xhtml#id13"/>
    <w:p>
      <w:pPr>
        <w:pStyle w:val="Heading3"/>
      </w:pPr>
      <w:r>
        <w:t xml:space="preserve">4.2.5.1. Пример: отправка и получение документов</w:t>
      </w:r>
    </w:p>
    <w:p>
      <w:pPr>
        <w:pStyle w:val="FirstParagraph"/>
      </w:pPr>
      <w:r>
        <w:t xml:space="preserve">В качестве примера рассмотрим вариант настройки корреспондентов и сам процесс обмена документами между организациями:</w:t>
      </w:r>
    </w:p>
    <w:p>
      <w:pPr>
        <w:numPr>
          <w:numId w:val="1066"/>
          <w:ilvl w:val="0"/>
        </w:numPr>
      </w:pPr>
      <w:r>
        <w:t xml:space="preserve">на стенде 1 в Synergy IDE настроено</w:t>
      </w:r>
      <w:r>
        <w:t xml:space="preserve"> </w:t>
      </w:r>
      <w:hyperlink r:id="rId144">
        <w:r>
          <w:rPr>
            <w:rStyle w:val="Hyperlink"/>
          </w:rPr>
          <w:t xml:space="preserve">приложение</w:t>
        </w:r>
      </w:hyperlink>
      <w:r>
        <w:t xml:space="preserve">, содержащее специальные формы, журналы и типы входящих и исходящих документов</w:t>
      </w:r>
      <w:r>
        <w:t xml:space="preserve"> </w:t>
      </w:r>
      <w:r>
        <w:t xml:space="preserve">для одного корреспондента</w:t>
      </w:r>
      <w:r>
        <w:t xml:space="preserve"> </w:t>
      </w:r>
      <w:r>
        <w:rPr>
          <w:rStyle w:val="VerbatimChar"/>
        </w:rPr>
        <w:t xml:space="preserve">syn1</w:t>
      </w:r>
      <w:r>
        <w:t xml:space="preserve">;</w:t>
      </w:r>
    </w:p>
    <w:p>
      <w:pPr>
        <w:numPr>
          <w:numId w:val="1066"/>
          <w:ilvl w:val="0"/>
        </w:numPr>
      </w:pPr>
      <w:r>
        <w:t xml:space="preserve">на стенде 2 в Synergy IDE настроено</w:t>
      </w:r>
      <w:r>
        <w:t xml:space="preserve"> </w:t>
      </w:r>
      <w:hyperlink r:id="rId145">
        <w:r>
          <w:rPr>
            <w:rStyle w:val="Hyperlink"/>
          </w:rPr>
          <w:t xml:space="preserve">другое приложение</w:t>
        </w:r>
      </w:hyperlink>
      <w:r>
        <w:t xml:space="preserve">, содержащее формы, журналы и типы документов для трех корреспондентов:</w:t>
      </w:r>
    </w:p>
    <w:p>
      <w:pPr>
        <w:pStyle w:val="BlockText"/>
        <w:numPr>
          <w:numId w:val="1067"/>
          <w:ilvl w:val="1"/>
        </w:numPr>
      </w:pPr>
      <w:r>
        <w:rPr>
          <w:rStyle w:val="VerbatimChar"/>
        </w:rPr>
        <w:t xml:space="preserve">syn2</w:t>
      </w:r>
    </w:p>
    <w:p>
      <w:pPr>
        <w:pStyle w:val="BlockText"/>
        <w:numPr>
          <w:numId w:val="1067"/>
          <w:ilvl w:val="1"/>
        </w:numPr>
      </w:pPr>
      <w:r>
        <w:rPr>
          <w:rStyle w:val="VerbatimChar"/>
        </w:rPr>
        <w:t xml:space="preserve">syn2_filial</w:t>
      </w:r>
    </w:p>
    <w:p>
      <w:pPr>
        <w:pStyle w:val="BlockText"/>
        <w:numPr>
          <w:numId w:val="1067"/>
          <w:ilvl w:val="1"/>
        </w:numPr>
      </w:pPr>
      <w:r>
        <w:rPr>
          <w:rStyle w:val="VerbatimChar"/>
        </w:rPr>
        <w:t xml:space="preserve">syn2_filial2</w:t>
      </w:r>
    </w:p>
    <w:p>
      <w:pPr>
        <w:numPr>
          <w:numId w:val="1066"/>
          <w:ilvl w:val="0"/>
        </w:numPr>
      </w:pPr>
      <w:r>
        <w:t xml:space="preserve">на стенде 1 в интерфейсе doc-exchange добавлены все четыре корреспондента:</w:t>
      </w:r>
    </w:p>
    <w:bookmarkStart w:id="147" w:name="doc-exchange.xhtml#id18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1917749"/>
            <wp:effectExtent b="0" l="0" r="0" t="0"/>
            <wp:docPr descr="../_images/image_62.png" title="" id="1" name="Picture"/>
            <a:graphic>
              <a:graphicData uri="http://schemas.openxmlformats.org/drawingml/2006/picture">
                <pic:pic>
                  <pic:nvPicPr>
                    <pic:cNvPr descr="_images/image_6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17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Находясь на стенде 3.224, добавляем корреспондента-себя и корреспондентов с соседнего стенда 4.40.</w:t>
      </w:r>
    </w:p>
    <w:bookmarkEnd w:id="147"/>
    <w:bookmarkStart w:id="149" w:name="doc-exchange.xhtml#id19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6475147"/>
            <wp:effectExtent b="0" l="0" r="0" t="0"/>
            <wp:docPr descr="../_images/image_63.png" title="" id="1" name="Picture"/>
            <a:graphic>
              <a:graphicData uri="http://schemas.openxmlformats.org/drawingml/2006/picture">
                <pic:pic>
                  <pic:nvPicPr>
                    <pic:cNvPr descr="_images/image_6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7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Пример настройки корреспондента-филиала</w:t>
      </w:r>
      <w:r>
        <w:t xml:space="preserve"> </w:t>
      </w:r>
      <w:r>
        <w:rPr>
          <w:rStyle w:val="VerbatimChar"/>
        </w:rPr>
        <w:t xml:space="preserve">syn2_filial2</w:t>
      </w:r>
      <w:r>
        <w:t xml:space="preserve">.</w:t>
      </w:r>
    </w:p>
    <w:bookmarkEnd w:id="149"/>
    <w:p>
      <w:pPr>
        <w:numPr>
          <w:numId w:val="1066"/>
          <w:ilvl w:val="0"/>
        </w:numPr>
      </w:pPr>
      <w:r>
        <w:t xml:space="preserve">синхронизируем корреспондентов, нажав на кнопку «Синхронизировать» в верхней части экрана; после сообщения о начале синхронизации</w:t>
      </w:r>
      <w:r>
        <w:t xml:space="preserve"> </w:t>
      </w:r>
      <w:r>
        <w:t xml:space="preserve">у каждого корреспондента в списке будут указаны статус синхронизации и время последней удачной синхронизации:</w:t>
      </w:r>
    </w:p>
    <w:bookmarkStart w:id="151" w:name="doc-exchange.xhtml#id20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1919573"/>
            <wp:effectExtent b="0" l="0" r="0" t="0"/>
            <wp:docPr descr="../_images/image_64.png" title="" id="1" name="Picture"/>
            <a:graphic>
              <a:graphicData uri="http://schemas.openxmlformats.org/drawingml/2006/picture">
                <pic:pic>
                  <pic:nvPicPr>
                    <pic:cNvPr descr="_images/image_6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19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В результате синхронизации в справочнике корреспондентов на стенде 4.40 будут добавлены элементы, соответствующие корреспондентам.</w:t>
      </w:r>
    </w:p>
    <w:bookmarkEnd w:id="151"/>
    <w:p>
      <w:pPr>
        <w:numPr>
          <w:numId w:val="1066"/>
          <w:ilvl w:val="0"/>
        </w:numPr>
      </w:pPr>
      <w:r>
        <w:t xml:space="preserve">перейдем к doc-exchange на стенде 2, обновим список корреспондентов и убедимся, что там уже были автоматически добавлены все корреспонденты: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1955939"/>
            <wp:effectExtent b="0" l="0" r="0" t="0"/>
            <wp:docPr descr="../_images/image_65.png" title="" id="1" name="Picture"/>
            <a:graphic>
              <a:graphicData uri="http://schemas.openxmlformats.org/drawingml/2006/picture">
                <pic:pic>
                  <pic:nvPicPr>
                    <pic:cNvPr descr="_images/image_6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5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Теперь в клиентской части Synergy на стенде 1 создадим новый документ исходящий документ в журнале:</w:t>
      </w:r>
    </w:p>
    <w:bookmarkStart w:id="154" w:name="doc-exchange.xhtml#id21"/>
    <w:p>
      <w:pPr>
        <w:pStyle w:val="Compact"/>
        <w:pStyle w:val="BlockText"/>
      </w:pPr>
      <w:r>
        <w:drawing>
          <wp:inline>
            <wp:extent cx="5334000" cy="2950459"/>
            <wp:effectExtent b="0" l="0" r="0" t="0"/>
            <wp:docPr descr="../_images/image_66.png" title="" id="1" name="Picture"/>
            <a:graphic>
              <a:graphicData uri="http://schemas.openxmlformats.org/drawingml/2006/picture">
                <pic:pic>
                  <pic:nvPicPr>
                    <pic:cNvPr descr="_images/image_6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0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Выбран тип документа, указанный как исходящий для корреспондента. Ниже стандартных полей РКК документа располагаются дополнительные</w:t>
      </w:r>
      <w:r>
        <w:t xml:space="preserve"> </w:t>
      </w:r>
      <w:r>
        <w:t xml:space="preserve">поля формы, добавленной для этого типа документа - в нашем случае это выпадающий список настроенных корреспондентов.</w:t>
      </w:r>
    </w:p>
    <w:bookmarkEnd w:id="154"/>
    <w:p>
      <w:pPr>
        <w:pStyle w:val="FirstParagraph"/>
      </w:pPr>
      <w:r>
        <w:t xml:space="preserve">Заполним краткое содержание документа, а в дополнительных полях формы типа документа выберем нужного корреспондента:</w:t>
      </w:r>
    </w:p>
    <w:bookmarkStart w:id="156" w:name="doc-exchange.xhtml#id22"/>
    <w:p>
      <w:pPr>
        <w:pStyle w:val="Compact"/>
        <w:pStyle w:val="BlockText"/>
      </w:pPr>
      <w:r>
        <w:drawing>
          <wp:inline>
            <wp:extent cx="5334000" cy="5122829"/>
            <wp:effectExtent b="0" l="0" r="0" t="0"/>
            <wp:docPr descr="../_images/image_67.png" title="" id="1" name="Picture"/>
            <a:graphic>
              <a:graphicData uri="http://schemas.openxmlformats.org/drawingml/2006/picture">
                <pic:pic>
                  <pic:nvPicPr>
                    <pic:cNvPr descr="_images/image_6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22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В нашем случае доступна отправка только одному корреспонденту, потому что на стенде не были настроены группы, а на форме исходящего</w:t>
      </w:r>
      <w:r>
        <w:t xml:space="preserve"> </w:t>
      </w:r>
      <w:r>
        <w:t xml:space="preserve">документа выбор корреспондентов не был помещен в динамическую таблицу.</w:t>
      </w:r>
    </w:p>
    <w:bookmarkEnd w:id="156"/>
    <w:p>
      <w:pPr>
        <w:pStyle w:val="FirstParagraph"/>
      </w:pPr>
      <w:r>
        <w:t xml:space="preserve">На следующем шаге мастера регистрации документов добавим вложения для исходящего документа:</w:t>
      </w:r>
    </w:p>
    <w:p>
      <w:pPr>
        <w:pStyle w:val="Compact"/>
        <w:pStyle w:val="BlockText"/>
      </w:pPr>
      <w:r>
        <w:drawing>
          <wp:inline>
            <wp:extent cx="5334000" cy="5115649"/>
            <wp:effectExtent b="0" l="0" r="0" t="0"/>
            <wp:docPr descr="../_images/image_68.png" title="" id="1" name="Picture"/>
            <a:graphic>
              <a:graphicData uri="http://schemas.openxmlformats.org/drawingml/2006/picture">
                <pic:pic>
                  <pic:nvPicPr>
                    <pic:cNvPr descr="_images/image_6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15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Внимание</w:t>
      </w:r>
    </w:p>
    <w:p>
      <w:pPr>
        <w:pStyle w:val="BlockText"/>
      </w:pPr>
      <w:r>
        <w:t xml:space="preserve">Все исходящие документы, отправляемые посредством doc-exchange, обязательно должны содержать вложения. Документы без</w:t>
      </w:r>
      <w:r>
        <w:t xml:space="preserve"> </w:t>
      </w:r>
      <w:r>
        <w:t xml:space="preserve">вложений будут зарегистрированы в исходящем журнале отправителя, но не будут отправлены корреспондентам-получателям.</w:t>
      </w:r>
    </w:p>
    <w:p>
      <w:pPr>
        <w:pStyle w:val="FirstParagraph"/>
      </w:pPr>
      <w:r>
        <w:t xml:space="preserve">Зарегистрируем документ, откроем его карточку и проверим ход выполнения:</w:t>
      </w:r>
    </w:p>
    <w:bookmarkStart w:id="159" w:name="doc-exchange.xhtml#id23"/>
    <w:p>
      <w:pPr>
        <w:pStyle w:val="Compact"/>
        <w:pStyle w:val="BlockText"/>
      </w:pPr>
      <w:r>
        <w:drawing>
          <wp:inline>
            <wp:extent cx="5334000" cy="3604390"/>
            <wp:effectExtent b="0" l="0" r="0" t="0"/>
            <wp:docPr descr="../_images/image_69.png" title="" id="1" name="Picture"/>
            <a:graphic>
              <a:graphicData uri="http://schemas.openxmlformats.org/drawingml/2006/picture">
                <pic:pic>
                  <pic:nvPicPr>
                    <pic:cNvPr descr="_images/image_6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4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В ходе выполнения</w:t>
      </w:r>
      <w:r>
        <w:t xml:space="preserve"> </w:t>
      </w:r>
      <w:r>
        <w:rPr>
          <w:b/>
        </w:rPr>
        <w:t xml:space="preserve">исходящего</w:t>
      </w:r>
      <w:r>
        <w:t xml:space="preserve"> </w:t>
      </w:r>
      <w:r>
        <w:t xml:space="preserve">документа отображено, что он был отправлен корреспонденту «Синерджи 4.40» и находится там в</w:t>
      </w:r>
      <w:r>
        <w:t xml:space="preserve"> </w:t>
      </w:r>
      <w:r>
        <w:t xml:space="preserve">статусе «На регистрации».</w:t>
      </w:r>
    </w:p>
    <w:bookmarkEnd w:id="159"/>
    <w:p>
      <w:pPr>
        <w:pStyle w:val="FirstParagraph"/>
      </w:pPr>
      <w:r>
        <w:t xml:space="preserve">Перейдем на стенд корреспондента-получателя и проверим его журнал входящих документов:</w:t>
      </w:r>
    </w:p>
    <w:bookmarkStart w:id="161" w:name="doc-exchange.xhtml#id24"/>
    <w:p>
      <w:pPr>
        <w:pStyle w:val="Compact"/>
        <w:pStyle w:val="BlockText"/>
      </w:pPr>
      <w:r>
        <w:drawing>
          <wp:inline>
            <wp:extent cx="5334000" cy="2525976"/>
            <wp:effectExtent b="0" l="0" r="0" t="0"/>
            <wp:docPr descr="../_images/image_70.png" title="" id="1" name="Picture"/>
            <a:graphic>
              <a:graphicData uri="http://schemas.openxmlformats.org/drawingml/2006/picture">
                <pic:pic>
                  <pic:nvPicPr>
                    <pic:cNvPr descr="_images/image_7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5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Документ получен.</w:t>
      </w:r>
    </w:p>
    <w:bookmarkEnd w:id="161"/>
    <w:p>
      <w:pPr>
        <w:pStyle w:val="FirstParagraph"/>
      </w:pPr>
      <w:r>
        <w:t xml:space="preserve">В мастере регистрации входящего документа указан его тип документа, канцеляр-отправитель, а в дополнительных полях -</w:t>
      </w:r>
      <w:r>
        <w:t xml:space="preserve"> </w:t>
      </w:r>
      <w:r>
        <w:t xml:space="preserve">корреспондент-автор:</w:t>
      </w:r>
    </w:p>
    <w:p>
      <w:pPr>
        <w:pStyle w:val="Compact"/>
        <w:pStyle w:val="BlockText"/>
      </w:pPr>
      <w:r>
        <w:drawing>
          <wp:inline>
            <wp:extent cx="5334000" cy="5122519"/>
            <wp:effectExtent b="0" l="0" r="0" t="0"/>
            <wp:docPr descr="../_images/image_71.png" title="" id="1" name="Picture"/>
            <a:graphic>
              <a:graphicData uri="http://schemas.openxmlformats.org/drawingml/2006/picture">
                <pic:pic>
                  <pic:nvPicPr>
                    <pic:cNvPr descr="_images/image_7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22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Зарегистрируем</w:t>
      </w:r>
      <w:r>
        <w:t xml:space="preserve"> </w:t>
      </w:r>
      <w:r>
        <w:rPr>
          <w:b/>
        </w:rPr>
        <w:t xml:space="preserve">входящий</w:t>
      </w:r>
      <w:r>
        <w:t xml:space="preserve"> </w:t>
      </w:r>
      <w:r>
        <w:t xml:space="preserve">документ, а потом вернемся на исходный стенд и проверим ход выполнения</w:t>
      </w:r>
      <w:r>
        <w:t xml:space="preserve"> </w:t>
      </w:r>
      <w:r>
        <w:rPr>
          <w:b/>
        </w:rPr>
        <w:t xml:space="preserve">исходящего</w:t>
      </w:r>
      <w:r>
        <w:t xml:space="preserve"> </w:t>
      </w:r>
      <w:r>
        <w:t xml:space="preserve">документа:</w:t>
      </w:r>
    </w:p>
    <w:bookmarkStart w:id="164" w:name="doc-exchange.xhtml#id25"/>
    <w:p>
      <w:pPr>
        <w:pStyle w:val="Compact"/>
        <w:pStyle w:val="BlockText"/>
      </w:pPr>
      <w:r>
        <w:drawing>
          <wp:inline>
            <wp:extent cx="5334000" cy="3742503"/>
            <wp:effectExtent b="0" l="0" r="0" t="0"/>
            <wp:docPr descr="../_images/image_72.png" title="" id="1" name="Picture"/>
            <a:graphic>
              <a:graphicData uri="http://schemas.openxmlformats.org/drawingml/2006/picture">
                <pic:pic>
                  <pic:nvPicPr>
                    <pic:cNvPr descr="_images/image_7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42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В ходе выполнения исходящего документа отображен его номер регистрации как входящего у корреспондента-получателя.</w:t>
      </w:r>
    </w:p>
    <w:bookmarkEnd w:id="164"/>
    <w:p>
      <w:pPr>
        <w:pStyle w:val="FirstParagraph"/>
      </w:pPr>
      <w:r>
        <w:t xml:space="preserve">Если у исходящего документа до момента его регистрации был ход выполнения, он также будет передан корреспондентам:</w:t>
      </w:r>
    </w:p>
    <w:bookmarkStart w:id="166" w:name="doc-exchange.xhtml#id26"/>
    <w:p>
      <w:pPr>
        <w:pStyle w:val="Compact"/>
        <w:pStyle w:val="BlockText"/>
      </w:pPr>
      <w:r>
        <w:drawing>
          <wp:inline>
            <wp:extent cx="5334000" cy="2298915"/>
            <wp:effectExtent b="0" l="0" r="0" t="0"/>
            <wp:docPr descr="../_images/image_73.png" title="" id="1" name="Picture"/>
            <a:graphic>
              <a:graphicData uri="http://schemas.openxmlformats.org/drawingml/2006/picture">
                <pic:pic>
                  <pic:nvPicPr>
                    <pic:cNvPr descr="_images/image_7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8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Документ был отправлен от корреспондента «Синерджи 4.40» корреспонденту «Синерджи 3.224». До его отправки документ был</w:t>
      </w:r>
      <w:r>
        <w:t xml:space="preserve"> </w:t>
      </w:r>
      <w:r>
        <w:t xml:space="preserve">согласован сотрудниками организации-автора, что и отображено в его ходе выполнения.</w:t>
      </w:r>
    </w:p>
    <w:bookmarkEnd w:id="166"/>
    <w:bookmarkEnd w:id="167"/>
    <w:bookmarkEnd w:id="168"/>
    <w:bookmarkEnd w:id="169"/>
    <w:p>
      <w:pPr>
        <w:pStyle w:val="FirstParagraph"/>
      </w:pPr>
      <w:bookmarkStart w:id="170" w:name="libraries.xhtml"/>
      <w:bookmarkEnd w:id="170"/>
    </w:p>
    <w:bookmarkStart w:id="173" w:name="libraries.xhtml#id1"/>
    <w:p>
      <w:pPr>
        <w:pStyle w:val="Heading1"/>
      </w:pPr>
      <w:r>
        <w:t xml:space="preserve">4.3. Подключаемые библиотеки в Интерпретаторе</w:t>
      </w:r>
    </w:p>
    <w:p>
      <w:pPr>
        <w:pStyle w:val="FirstParagraph"/>
      </w:pPr>
      <w:r>
        <w:t xml:space="preserve">При разработке часто возникает потребность использовать в скриптах интерпретатора один и тот же</w:t>
      </w:r>
      <w:r>
        <w:t xml:space="preserve"> </w:t>
      </w:r>
      <w:r>
        <w:t xml:space="preserve">код - собственные методы или внешние библиотеки. Ранее для этого приходилось в каждом экземпляре</w:t>
      </w:r>
      <w:r>
        <w:t xml:space="preserve"> </w:t>
      </w:r>
      <w:r>
        <w:t xml:space="preserve">скрипта интерпретатора добавлять коды этих библиотек.</w:t>
      </w:r>
    </w:p>
    <w:p>
      <w:pPr>
        <w:pStyle w:val="BodyText"/>
      </w:pPr>
      <w:r>
        <w:t xml:space="preserve">Мы реализовали возможность использования в скриптах интерпретатора библиотек, добавленных в</w:t>
      </w:r>
      <w:r>
        <w:t xml:space="preserve"> </w:t>
      </w:r>
      <w:r>
        <w:t xml:space="preserve">пользовательские компоненты. Теперь код, который ранее повторялся в нескольких скриптах,</w:t>
      </w:r>
      <w:r>
        <w:t xml:space="preserve"> </w:t>
      </w:r>
      <w:r>
        <w:t xml:space="preserve">можно вынести в один пользовательский компонент. На сервере при выполнении скрипта интерпретатора</w:t>
      </w:r>
      <w:r>
        <w:t xml:space="preserve"> </w:t>
      </w:r>
      <w:r>
        <w:t xml:space="preserve">также будут выполняться все скрипты его подключенных библиотек.</w:t>
      </w:r>
    </w:p>
    <w:p>
      <w:pPr>
        <w:pStyle w:val="BodyText"/>
      </w:pPr>
      <w:r>
        <w:t xml:space="preserve">Для пользовательских компонентов был добавлен новый флаг «Использовать в скриптах интерпретатора».</w:t>
      </w:r>
      <w:r>
        <w:t xml:space="preserve"> </w:t>
      </w:r>
      <w:r>
        <w:t xml:space="preserve">Этот флаг альтернативный по отношению к флагу «Использовать в формах»: нельзя включить оба флага одноременно:</w:t>
      </w:r>
    </w:p>
    <w:p>
      <w:pPr>
        <w:pStyle w:val="Compact"/>
      </w:pPr>
      <w:r>
        <w:drawing>
          <wp:inline>
            <wp:extent cx="5334000" cy="2871755"/>
            <wp:effectExtent b="0" l="0" r="0" t="0"/>
            <wp:docPr descr="../_images/lib1.png" title="" id="1" name="Picture"/>
            <a:graphic>
              <a:graphicData uri="http://schemas.openxmlformats.org/drawingml/2006/picture">
                <pic:pic>
                  <pic:nvPicPr>
                    <pic:cNvPr descr="_images/lib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свойствах скрипта интерпретатора добавлен новый раздел «Библиотеки», где отображаются названия всех</w:t>
      </w:r>
      <w:r>
        <w:t xml:space="preserve"> </w:t>
      </w:r>
      <w:r>
        <w:t xml:space="preserve">Пользовательских компонентов, у которых включен флаг «Использовать в скриптах интерпретатора»:</w:t>
      </w:r>
    </w:p>
    <w:p>
      <w:pPr>
        <w:pStyle w:val="Compact"/>
      </w:pPr>
      <w:r>
        <w:drawing>
          <wp:inline>
            <wp:extent cx="5334000" cy="3785609"/>
            <wp:effectExtent b="0" l="0" r="0" t="0"/>
            <wp:docPr descr="../_images/lib2.png" title="" id="1" name="Picture"/>
            <a:graphic>
              <a:graphicData uri="http://schemas.openxmlformats.org/drawingml/2006/picture">
                <pic:pic>
                  <pic:nvPicPr>
                    <pic:cNvPr descr="_images/lib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5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выполнении такого скрипта интерпретатора на сервере будут выполняться скрипты всех указанных</w:t>
      </w:r>
      <w:r>
        <w:t xml:space="preserve"> </w:t>
      </w:r>
      <w:r>
        <w:t xml:space="preserve">пользовательских компонентов.</w:t>
      </w:r>
    </w:p>
    <w:bookmarkEnd w:id="173"/>
    <w:p>
      <w:pPr>
        <w:pStyle w:val="BodyText"/>
      </w:pPr>
      <w:bookmarkStart w:id="174" w:name="forms.xhtml"/>
      <w:bookmarkEnd w:id="174"/>
    </w:p>
    <w:bookmarkStart w:id="212" w:name="forms.xhtml#id1"/>
    <w:p>
      <w:pPr>
        <w:pStyle w:val="Heading1"/>
      </w:pPr>
      <w:r>
        <w:t xml:space="preserve">4.4. Доработка форм</w:t>
      </w:r>
    </w:p>
    <w:p>
      <w:pPr>
        <w:pStyle w:val="FirstParagraph"/>
      </w:pPr>
      <w:r>
        <w:t xml:space="preserve">Мы продолжаем расширять возможности работы с формами Synergy.</w:t>
      </w:r>
    </w:p>
    <w:bookmarkStart w:id="186" w:name="forms.xhtml#id2"/>
    <w:p>
      <w:pPr>
        <w:pStyle w:val="Heading2"/>
      </w:pPr>
      <w:r>
        <w:t xml:space="preserve">4.4.1. Представления формы</w:t>
      </w:r>
    </w:p>
    <w:p>
      <w:pPr>
        <w:pStyle w:val="FirstParagraph"/>
      </w:pPr>
      <w:r>
        <w:t xml:space="preserve">В новой версии была добавлена возможность создания</w:t>
      </w:r>
      <w:r>
        <w:t xml:space="preserve"> </w:t>
      </w:r>
      <w:r>
        <w:rPr>
          <w:b/>
        </w:rPr>
        <w:t xml:space="preserve">представлений формы</w:t>
      </w:r>
      <w:r>
        <w:t xml:space="preserve"> </w:t>
      </w:r>
      <w:r>
        <w:t xml:space="preserve">- вариантов внешнего вида и компоновки</w:t>
      </w:r>
      <w:r>
        <w:t xml:space="preserve"> </w:t>
      </w:r>
      <w:r>
        <w:t xml:space="preserve">компонентов формы.</w:t>
      </w:r>
    </w:p>
    <w:p>
      <w:pPr>
        <w:pStyle w:val="BodyText"/>
      </w:pPr>
      <w:r>
        <w:t xml:space="preserve">Настроив несколько представлений для одной формы, разработчик Synergy сможет отрегулировать верстку формы для</w:t>
      </w:r>
      <w:r>
        <w:t xml:space="preserve"> </w:t>
      </w:r>
      <w:r>
        <w:t xml:space="preserve">различных экранов - от мобильных до широкоформатных.</w:t>
      </w:r>
    </w:p>
    <w:p>
      <w:pPr>
        <w:pStyle w:val="BodyText"/>
      </w:pPr>
      <w:r>
        <w:t xml:space="preserve">Другой вариант использования представлений - предоставление пользователю частичного отображения формы посредством</w:t>
      </w:r>
      <w:r>
        <w:t xml:space="preserve"> </w:t>
      </w:r>
      <w:r>
        <w:t xml:space="preserve">Конструктора приложений или внешнего проигрывателя форм.</w:t>
      </w:r>
    </w:p>
    <w:p>
      <w:pPr>
        <w:pStyle w:val="BodyText"/>
      </w:pPr>
      <w:r>
        <w:t xml:space="preserve">В Synergy IDE для форм добавлена новая дочерняя папка «Представления», которая создается автоматически вместе с формой:</w:t>
      </w:r>
    </w:p>
    <w:p>
      <w:pPr>
        <w:pStyle w:val="Compact"/>
      </w:pPr>
      <w:r>
        <w:drawing>
          <wp:inline>
            <wp:extent cx="3213100" cy="2286000"/>
            <wp:effectExtent b="0" l="0" r="0" t="0"/>
            <wp:docPr descr="../_images/image_18.png" title="" id="1" name="Picture"/>
            <a:graphic>
              <a:graphicData uri="http://schemas.openxmlformats.org/drawingml/2006/picture">
                <pic:pic>
                  <pic:nvPicPr>
                    <pic:cNvPr descr="_images/image_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этом печатное представление формы вынесено в отдельную дочернюю ноду формы.</w:t>
      </w:r>
    </w:p>
    <w:p>
      <w:pPr>
        <w:pStyle w:val="BodyText"/>
      </w:pPr>
      <w:r>
        <w:t xml:space="preserve">В контекстном меню папки «Представления» есть один пункт - «Добавить представление».</w:t>
      </w:r>
    </w:p>
    <w:p>
      <w:pPr>
        <w:pStyle w:val="BodyText"/>
      </w:pPr>
      <w:r>
        <w:t xml:space="preserve">Имя нового представления должно соответствовать тем же правилам, что и имя папки в IDE, то есть должно состоять только</w:t>
      </w:r>
      <w:r>
        <w:t xml:space="preserve"> </w:t>
      </w:r>
      <w:r>
        <w:t xml:space="preserve">из букв латинского алфавита,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, и не должно начинаться с цифры:</w:t>
      </w:r>
    </w:p>
    <w:p>
      <w:pPr>
        <w:pStyle w:val="Compact"/>
      </w:pPr>
      <w:r>
        <w:drawing>
          <wp:inline>
            <wp:extent cx="3035300" cy="2463800"/>
            <wp:effectExtent b="0" l="0" r="0" t="0"/>
            <wp:docPr descr="../_images/image_19.png" title="" id="1" name="Picture"/>
            <a:graphic>
              <a:graphicData uri="http://schemas.openxmlformats.org/drawingml/2006/picture">
                <pic:pic>
                  <pic:nvPicPr>
                    <pic:cNvPr descr="_images/image_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Созданное представление можно переименовать или удалить с помощью его контекстного меню.</w:t>
      </w:r>
    </w:p>
    <w:p>
      <w:pPr>
        <w:pStyle w:val="BodyText"/>
      </w:pPr>
      <w:r>
        <w:t xml:space="preserve">Вкладка представления открывается внутри вкладки формы:</w:t>
      </w:r>
    </w:p>
    <w:p>
      <w:pPr>
        <w:pStyle w:val="Compact"/>
      </w:pPr>
      <w:r>
        <w:drawing>
          <wp:inline>
            <wp:extent cx="5334000" cy="3867410"/>
            <wp:effectExtent b="0" l="0" r="0" t="0"/>
            <wp:docPr descr="../_images/image_20.png" title="" id="1" name="Picture"/>
            <a:graphic>
              <a:graphicData uri="http://schemas.openxmlformats.org/drawingml/2006/picture">
                <pic:pic>
                  <pic:nvPicPr>
                    <pic:cNvPr descr="_images/image_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6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сути представление формы - это способ расположения уже существующих компонентов основной формы. Поэтому в редакторе</w:t>
      </w:r>
      <w:r>
        <w:t xml:space="preserve"> </w:t>
      </w:r>
      <w:r>
        <w:t xml:space="preserve">представления все компоненты представлены в виде двух основных разделов: «Новые» и «Существующие».</w:t>
      </w:r>
    </w:p>
    <w:p>
      <w:pPr>
        <w:pStyle w:val="BodyText"/>
      </w:pPr>
      <w:r>
        <w:t xml:space="preserve">К</w:t>
      </w:r>
      <w:r>
        <w:t xml:space="preserve"> </w:t>
      </w:r>
      <w:r>
        <w:rPr>
          <w:b/>
        </w:rPr>
        <w:t xml:space="preserve">новым</w:t>
      </w:r>
      <w:r>
        <w:t xml:space="preserve"> </w:t>
      </w:r>
      <w:r>
        <w:t xml:space="preserve">компонентам относятся компоненты «Неизменяемый текст», «Таблица» и «Изображение». При этом функциональность</w:t>
      </w:r>
      <w:r>
        <w:t xml:space="preserve"> </w:t>
      </w:r>
      <w:r>
        <w:t xml:space="preserve">компонента “Таблица” здесь существенно урезана - например, нельзя сделать таблицу динамической:</w:t>
      </w:r>
    </w:p>
    <w:p>
      <w:pPr>
        <w:pStyle w:val="Compact"/>
      </w:pPr>
      <w:r>
        <w:drawing>
          <wp:inline>
            <wp:extent cx="5334000" cy="3335282"/>
            <wp:effectExtent b="0" l="0" r="0" t="0"/>
            <wp:docPr descr="../_images/image_21.png" title="" id="1" name="Picture"/>
            <a:graphic>
              <a:graphicData uri="http://schemas.openxmlformats.org/drawingml/2006/picture">
                <pic:pic>
                  <pic:nvPicPr>
                    <pic:cNvPr descr="_images/image_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5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 компоненты основной формы, в том числе настроенные динамические таблицы, расположены в</w:t>
      </w:r>
      <w:r>
        <w:t xml:space="preserve"> </w:t>
      </w:r>
      <w:r>
        <w:rPr>
          <w:b/>
        </w:rPr>
        <w:t xml:space="preserve">существующих</w:t>
      </w:r>
      <w:r>
        <w:t xml:space="preserve"> </w:t>
      </w:r>
      <w:r>
        <w:t xml:space="preserve">компонентах и</w:t>
      </w:r>
      <w:r>
        <w:t xml:space="preserve"> </w:t>
      </w:r>
      <w:r>
        <w:t xml:space="preserve">сгруппированы по типам:</w:t>
      </w:r>
    </w:p>
    <w:p>
      <w:pPr>
        <w:pStyle w:val="Compact"/>
      </w:pPr>
      <w:r>
        <w:drawing>
          <wp:inline>
            <wp:extent cx="5334000" cy="3804132"/>
            <wp:effectExtent b="0" l="0" r="0" t="0"/>
            <wp:docPr descr="../_images/image_22.png" title="" id="1" name="Picture"/>
            <a:graphic>
              <a:graphicData uri="http://schemas.openxmlformats.org/drawingml/2006/picture">
                <pic:pic>
                  <pic:nvPicPr>
                    <pic:cNvPr descr="_images/image_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4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Рабочая область редактора представлений содержит основную таблицу, в которой расположены компоненты представления.</w:t>
      </w:r>
    </w:p>
    <w:p>
      <w:pPr>
        <w:pStyle w:val="BodyText"/>
      </w:pPr>
      <w:r>
        <w:t xml:space="preserve">Для того, чтобы добавить в представление компонент формы, достаточно выделить ячейку основной таблицы представления и выбрать</w:t>
      </w:r>
      <w:r>
        <w:t xml:space="preserve"> </w:t>
      </w:r>
      <w:r>
        <w:t xml:space="preserve">нужный компонент из левой части. Выбранный компонент будет добавлен в представление со своим кодом, настройками и внешним видом,</w:t>
      </w:r>
      <w:r>
        <w:t xml:space="preserve"> </w:t>
      </w:r>
      <w:r>
        <w:t xml:space="preserve">используются размеры компонента по умолчанию. При этом изменение кода компонента и доступ к его свойствам заблокированы, но</w:t>
      </w:r>
      <w:r>
        <w:t xml:space="preserve"> </w:t>
      </w:r>
      <w:r>
        <w:t xml:space="preserve">разработчик Synergy может изменить размеры компонента и его начертание:</w:t>
      </w:r>
    </w:p>
    <w:p>
      <w:pPr>
        <w:pStyle w:val="Compact"/>
      </w:pPr>
      <w:r>
        <w:drawing>
          <wp:inline>
            <wp:extent cx="5334000" cy="3800475"/>
            <wp:effectExtent b="0" l="0" r="0" t="0"/>
            <wp:docPr descr="../_images/image_23.png" title="" id="1" name="Picture"/>
            <a:graphic>
              <a:graphicData uri="http://schemas.openxmlformats.org/drawingml/2006/picture">
                <pic:pic>
                  <pic:nvPicPr>
                    <pic:cNvPr descr="_images/image_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Существующий компонент, добавленный в представление, перестает отображаться в левой части.</w:t>
      </w:r>
    </w:p>
    <w:p>
      <w:pPr>
        <w:pStyle w:val="BodyText"/>
      </w:pPr>
      <w:r>
        <w:t xml:space="preserve">Динамическая таблица при добавлении в представление состоит из одной ячейки основного блока таблицы и одной ячейки заголовка,</w:t>
      </w:r>
      <w:r>
        <w:t xml:space="preserve"> </w:t>
      </w:r>
      <w:r>
        <w:t xml:space="preserve">если он был настроен:</w:t>
      </w:r>
    </w:p>
    <w:p>
      <w:pPr>
        <w:pStyle w:val="Compact"/>
      </w:pPr>
      <w:r>
        <w:drawing>
          <wp:inline>
            <wp:extent cx="5334000" cy="3806325"/>
            <wp:effectExtent b="0" l="0" r="0" t="0"/>
            <wp:docPr descr="../_images/image_24.png" title="" id="1" name="Picture"/>
            <a:graphic>
              <a:graphicData uri="http://schemas.openxmlformats.org/drawingml/2006/picture">
                <pic:pic>
                  <pic:nvPicPr>
                    <pic:cNvPr descr="_images/image_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выделении ячейки заголовка динамической таблицы в левой части отображаются только компоненты, которые были расположены в</w:t>
      </w:r>
      <w:r>
        <w:t xml:space="preserve"> </w:t>
      </w:r>
      <w:r>
        <w:t xml:space="preserve">строке заголовка этой таблицы в основной форме:</w:t>
      </w:r>
    </w:p>
    <w:p>
      <w:pPr>
        <w:pStyle w:val="Compact"/>
      </w:pPr>
      <w:r>
        <w:drawing>
          <wp:inline>
            <wp:extent cx="5334000" cy="3802658"/>
            <wp:effectExtent b="0" l="0" r="0" t="0"/>
            <wp:docPr descr="../_images/image_25.png" title="" id="1" name="Picture"/>
            <a:graphic>
              <a:graphicData uri="http://schemas.openxmlformats.org/drawingml/2006/picture">
                <pic:pic>
                  <pic:nvPicPr>
                    <pic:cNvPr descr="_images/image_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2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Аналогично, если выделена ячейка основного блока динамической таблицы, слева будут отображены только компоненты из блоков этой таблицы:</w:t>
      </w:r>
    </w:p>
    <w:p>
      <w:pPr>
        <w:pStyle w:val="Compact"/>
      </w:pPr>
      <w:r>
        <w:drawing>
          <wp:inline>
            <wp:extent cx="5334000" cy="3802658"/>
            <wp:effectExtent b="0" l="0" r="0" t="0"/>
            <wp:docPr descr="../_images/image_26.png" title="" id="1" name="Picture"/>
            <a:graphic>
              <a:graphicData uri="http://schemas.openxmlformats.org/drawingml/2006/picture">
                <pic:pic>
                  <pic:nvPicPr>
                    <pic:cNvPr descr="_images/image_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2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Таким образом «перемешать» как компоненты разных динамических таблиц, так и компоненты из заголовка и блоков одной таблицы невозможно.</w:t>
      </w:r>
    </w:p>
    <w:bookmarkStart w:id="185" w:name="forms.xhtml#id3"/>
    <w:p>
      <w:pPr>
        <w:pStyle w:val="Heading3"/>
      </w:pPr>
      <w:r>
        <w:t xml:space="preserve">4.4.1.1. Использование представлений форм</w:t>
      </w:r>
    </w:p>
    <w:p>
      <w:pPr>
        <w:pStyle w:val="FirstParagraph"/>
      </w:pPr>
      <w:r>
        <w:t xml:space="preserve">В Конструкторе приложений компонент «Проигрыватель форм» содержит специальное свойство «Код представления». В этом свойстве можно</w:t>
      </w:r>
      <w:r>
        <w:t xml:space="preserve"> </w:t>
      </w:r>
      <w:r>
        <w:t xml:space="preserve">указать название представления, настроенного для формы:</w:t>
      </w:r>
    </w:p>
    <w:p>
      <w:pPr>
        <w:pStyle w:val="Compact"/>
      </w:pPr>
      <w:r>
        <w:drawing>
          <wp:inline>
            <wp:extent cx="5334000" cy="2234654"/>
            <wp:effectExtent b="0" l="0" r="0" t="0"/>
            <wp:docPr descr="../_images/image_74.png" title="" id="1" name="Picture"/>
            <a:graphic>
              <a:graphicData uri="http://schemas.openxmlformats.org/drawingml/2006/picture">
                <pic:pic>
                  <pic:nvPicPr>
                    <pic:cNvPr descr="_images/image_7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4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использовании внешнего проигрывателя форм для отображения нужного представления используется метод</w:t>
      </w:r>
      <w:r>
        <w:t xml:space="preserve"> </w:t>
      </w:r>
      <w:r>
        <w:rPr>
          <w:rStyle w:val="VerbatimChar"/>
        </w:rPr>
        <w:t xml:space="preserve">showView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this.player.model.showView(viewCode)</w:t>
      </w:r>
    </w:p>
    <w:bookmarkEnd w:id="185"/>
    <w:bookmarkEnd w:id="186"/>
    <w:bookmarkStart w:id="201" w:name="forms.xhtml#id4"/>
    <w:p>
      <w:pPr>
        <w:pStyle w:val="Heading2"/>
      </w:pPr>
      <w:r>
        <w:t xml:space="preserve">4.4.2. Новый компонент «Вычисляемое поле»</w:t>
      </w:r>
    </w:p>
    <w:p>
      <w:pPr>
        <w:pStyle w:val="FirstParagraph"/>
      </w:pPr>
      <w:r>
        <w:t xml:space="preserve">Очень часто возникает необходимость выполнить какие-либо арифметические операции с числами на форме. Ранее это можно было сделать</w:t>
      </w:r>
      <w:r>
        <w:t xml:space="preserve"> </w:t>
      </w:r>
      <w:r>
        <w:t xml:space="preserve">только с помощью блокирующего процесса.</w:t>
      </w:r>
    </w:p>
    <w:p>
      <w:pPr>
        <w:pStyle w:val="BodyText"/>
      </w:pPr>
      <w:r>
        <w:t xml:space="preserve">Мы реализовали новый тип компонента, который называется «Вычисляемое поле». Этот компонент позволяет производить вычисления с компонентами</w:t>
      </w:r>
      <w:r>
        <w:t xml:space="preserve"> </w:t>
      </w:r>
      <w:r>
        <w:t xml:space="preserve">формы на основе настроенной формулы. Вычисления выполняются как на стороне клиента, так и на стороне сервера:</w:t>
      </w:r>
    </w:p>
    <w:p>
      <w:pPr>
        <w:numPr>
          <w:numId w:val="1068"/>
          <w:ilvl w:val="0"/>
        </w:numPr>
      </w:pPr>
      <w:r>
        <w:t xml:space="preserve">при изменении значения поля, участвующего в выражении (в том числе в режиме предпросмотра формы в конструкторе), агрегирование значений</w:t>
      </w:r>
      <w:r>
        <w:t xml:space="preserve"> </w:t>
      </w:r>
      <w:r>
        <w:t xml:space="preserve">компонентов в динтаблице выполняется также при изменении количества блоков в таблице;</w:t>
      </w:r>
    </w:p>
    <w:p>
      <w:pPr>
        <w:numPr>
          <w:numId w:val="1068"/>
          <w:ilvl w:val="0"/>
        </w:numPr>
      </w:pPr>
      <w:r>
        <w:t xml:space="preserve">при изменении выражения (в конструкторе);</w:t>
      </w:r>
    </w:p>
    <w:p>
      <w:pPr>
        <w:numPr>
          <w:numId w:val="1068"/>
          <w:ilvl w:val="0"/>
        </w:numPr>
      </w:pPr>
      <w:r>
        <w:t xml:space="preserve">при создании и открытии записи по форме;</w:t>
      </w:r>
    </w:p>
    <w:p>
      <w:pPr>
        <w:numPr>
          <w:numId w:val="1068"/>
          <w:ilvl w:val="0"/>
        </w:numPr>
      </w:pPr>
      <w:r>
        <w:t xml:space="preserve">при сохранении данных по форме.</w:t>
      </w:r>
    </w:p>
    <w:bookmarkStart w:id="188" w:name="forms.xhtml#id5"/>
    <w:p>
      <w:pPr>
        <w:pStyle w:val="Heading3"/>
      </w:pPr>
      <w:r>
        <w:t xml:space="preserve">4.4.2.1. Описание компонента</w:t>
      </w:r>
    </w:p>
    <w:p>
      <w:pPr>
        <w:pStyle w:val="FirstParagraph"/>
      </w:pPr>
      <w:r>
        <w:t xml:space="preserve">Вычисляемое поле расположено в разделе «Специальные». Внешний вид компонента на форме полностью аналогичен числовому полю, заблокированному</w:t>
      </w:r>
      <w:r>
        <w:t xml:space="preserve"> </w:t>
      </w:r>
      <w:r>
        <w:t xml:space="preserve">от изменений пользователем, но без плейсхолдера.</w:t>
      </w:r>
    </w:p>
    <w:p>
      <w:pPr>
        <w:pStyle w:val="BodyText"/>
      </w:pPr>
      <w:r>
        <w:t xml:space="preserve">Настройки вычисляемого поля:</w:t>
      </w:r>
    </w:p>
    <w:p>
      <w:pPr>
        <w:pStyle w:val="Compact"/>
      </w:pPr>
      <w:r>
        <w:drawing>
          <wp:inline>
            <wp:extent cx="5334000" cy="3331453"/>
            <wp:effectExtent b="0" l="0" r="0" t="0"/>
            <wp:docPr descr="../_images/image_27.png" title="" id="1" name="Picture"/>
            <a:graphic>
              <a:graphicData uri="http://schemas.openxmlformats.org/drawingml/2006/picture">
                <pic:pic>
                  <pic:nvPicPr>
                    <pic:cNvPr descr="_images/image_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1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88"/>
    <w:bookmarkStart w:id="190" w:name="forms.xhtml#id6"/>
    <w:p>
      <w:pPr>
        <w:pStyle w:val="Heading3"/>
      </w:pPr>
      <w:r>
        <w:t xml:space="preserve">4.4.2.2. Синтаксис формул</w:t>
      </w:r>
    </w:p>
    <w:p>
      <w:pPr>
        <w:pStyle w:val="FirstParagraph"/>
      </w:pPr>
      <w:r>
        <w:t xml:space="preserve">Поддерживаемые действия:</w:t>
      </w:r>
    </w:p>
    <w:p>
      <w:pPr>
        <w:numPr>
          <w:numId w:val="1069"/>
          <w:ilvl w:val="0"/>
        </w:numPr>
      </w:pPr>
      <w:r>
        <w:t xml:space="preserve">арифметические (+, -,</w:t>
      </w:r>
      <w:r>
        <w:t xml:space="preserve"> </w:t>
      </w:r>
      <w:hyperlink w:anchor="forms.xhtml#id7">
        <w:bookmarkStart w:id="189" w:name="forms.xhtml#id8"/>
        <w:r>
          <w:rPr>
            <w:rStyle w:val="Hyperlink"/>
          </w:rPr>
          <w:t xml:space="preserve">*</w:t>
        </w:r>
        <w:bookmarkEnd w:id="189"/>
      </w:hyperlink>
      <w:r>
        <w:t xml:space="preserve">, /);</w:t>
      </w:r>
    </w:p>
    <w:p>
      <w:pPr>
        <w:numPr>
          <w:numId w:val="1069"/>
          <w:ilvl w:val="0"/>
        </w:numPr>
      </w:pPr>
      <w:r>
        <w:t xml:space="preserve">агрегирование значений компонентов (сумма</w:t>
      </w:r>
      <w:r>
        <w:t xml:space="preserve"> </w:t>
      </w:r>
      <w:r>
        <w:rPr>
          <w:rStyle w:val="VerbatimChar"/>
        </w:rPr>
        <w:t xml:space="preserve">SUM</w:t>
      </w:r>
      <w:r>
        <w:t xml:space="preserve">, среднее арифметическое</w:t>
      </w:r>
      <w:r>
        <w:t xml:space="preserve"> </w:t>
      </w:r>
      <w:r>
        <w:rPr>
          <w:rStyle w:val="VerbatimChar"/>
        </w:rPr>
        <w:t xml:space="preserve">AVG</w:t>
      </w:r>
      <w:r>
        <w:t xml:space="preserve">, минимум</w:t>
      </w:r>
      <w:r>
        <w:t xml:space="preserve"> </w:t>
      </w:r>
      <w:r>
        <w:rPr>
          <w:rStyle w:val="VerbatimChar"/>
        </w:rPr>
        <w:t xml:space="preserve">MIN</w:t>
      </w:r>
      <w:r>
        <w:t xml:space="preserve">, максимум</w:t>
      </w:r>
      <w:r>
        <w:t xml:space="preserve"> </w:t>
      </w:r>
      <w:r>
        <w:rPr>
          <w:rStyle w:val="VerbatimChar"/>
        </w:rPr>
        <w:t xml:space="preserve">MAX</w:t>
      </w:r>
      <w:r>
        <w:t xml:space="preserve">, количество элементов</w:t>
      </w:r>
      <w:r>
        <w:t xml:space="preserve"> </w:t>
      </w:r>
      <w:r>
        <w:rPr>
          <w:rStyle w:val="VerbatimChar"/>
        </w:rPr>
        <w:t xml:space="preserve">COUNT</w:t>
      </w:r>
      <w:r>
        <w:t xml:space="preserve">);</w:t>
      </w:r>
    </w:p>
    <w:p>
      <w:pPr>
        <w:numPr>
          <w:numId w:val="1069"/>
          <w:ilvl w:val="0"/>
        </w:numPr>
      </w:pPr>
      <w:r>
        <w:t xml:space="preserve">сравнения (&lt;, &lt;=, &gt;, &gt;=, =, !=);</w:t>
      </w:r>
    </w:p>
    <w:p>
      <w:pPr>
        <w:numPr>
          <w:numId w:val="1069"/>
          <w:ilvl w:val="0"/>
        </w:numPr>
      </w:pPr>
      <w:r>
        <w:t xml:space="preserve">условный оператор</w:t>
      </w:r>
      <w:r>
        <w:t xml:space="preserve"> </w:t>
      </w:r>
      <w:r>
        <w:rPr>
          <w:rStyle w:val="VerbatimChar"/>
        </w:rPr>
        <w:t xml:space="preserve">IF(&lt;условие&gt;, &lt;значение, если истина&gt;, &lt;значение, если ложь&gt;)</w:t>
      </w:r>
      <w:r>
        <w:t xml:space="preserve">.</w:t>
      </w:r>
    </w:p>
    <w:p>
      <w:pPr>
        <w:pStyle w:val="FirstParagraph"/>
      </w:pPr>
      <w:r>
        <w:t xml:space="preserve">Обращение к компоненту:</w:t>
      </w:r>
    </w:p>
    <w:p>
      <w:pPr>
        <w:numPr>
          <w:numId w:val="1070"/>
          <w:ilvl w:val="0"/>
        </w:numPr>
      </w:pPr>
      <w:r>
        <w:rPr>
          <w:rStyle w:val="VerbatimChar"/>
        </w:rPr>
        <w:t xml:space="preserve">${cmp-id}</w:t>
      </w:r>
      <w:r>
        <w:t xml:space="preserve">,</w:t>
      </w:r>
      <w:r>
        <w:t xml:space="preserve"> </w:t>
      </w:r>
      <w:r>
        <w:rPr>
          <w:rStyle w:val="VerbatimChar"/>
        </w:rPr>
        <w:t xml:space="preserve">${cmp-in-static-table}</w:t>
      </w:r>
      <w:r>
        <w:t xml:space="preserve"> </w:t>
      </w:r>
      <w:r>
        <w:t xml:space="preserve">- значение указанного компонента;</w:t>
      </w:r>
    </w:p>
    <w:p>
      <w:pPr>
        <w:numPr>
          <w:numId w:val="1070"/>
          <w:ilvl w:val="0"/>
        </w:numPr>
      </w:pPr>
      <w:r>
        <w:rPr>
          <w:rStyle w:val="VerbatimChar"/>
        </w:rPr>
        <w:t xml:space="preserve">#{cmp-id}</w:t>
      </w:r>
      <w:r>
        <w:t xml:space="preserve"> </w:t>
      </w:r>
      <w:r>
        <w:t xml:space="preserve">- значение компонента</w:t>
      </w:r>
      <w:r>
        <w:t xml:space="preserve"> </w:t>
      </w:r>
      <w:r>
        <w:rPr>
          <w:rStyle w:val="VerbatimChar"/>
        </w:rPr>
        <w:t xml:space="preserve">cmp-id</w:t>
      </w:r>
      <w:r>
        <w:t xml:space="preserve">, расположенного в динтаблице, текущий блок (применяется только для формул в компонентах,</w:t>
      </w:r>
      <w:r>
        <w:t xml:space="preserve"> </w:t>
      </w:r>
      <w:r>
        <w:t xml:space="preserve">расположенных в этом же блоке динтаблицы);</w:t>
      </w:r>
    </w:p>
    <w:p>
      <w:pPr>
        <w:numPr>
          <w:numId w:val="1070"/>
          <w:ilvl w:val="0"/>
        </w:numPr>
      </w:pPr>
      <w:r>
        <w:rPr>
          <w:rStyle w:val="VerbatimChar"/>
        </w:rPr>
        <w:t xml:space="preserve">@{dyntable.cmp-id}</w:t>
      </w:r>
      <w:r>
        <w:t xml:space="preserve"> </w:t>
      </w:r>
      <w:r>
        <w:t xml:space="preserve">- массив значений компонента</w:t>
      </w:r>
      <w:r>
        <w:t xml:space="preserve"> </w:t>
      </w:r>
      <w:r>
        <w:rPr>
          <w:rStyle w:val="VerbatimChar"/>
        </w:rPr>
        <w:t xml:space="preserve">cmp-id</w:t>
      </w:r>
      <w:r>
        <w:t xml:space="preserve"> </w:t>
      </w:r>
      <w:r>
        <w:t xml:space="preserve">из всех блоков динтаблицы</w:t>
      </w:r>
      <w:r>
        <w:t xml:space="preserve"> </w:t>
      </w:r>
      <w:r>
        <w:rPr>
          <w:rStyle w:val="VerbatimChar"/>
        </w:rPr>
        <w:t xml:space="preserve">dyntable</w:t>
      </w:r>
      <w:r>
        <w:t xml:space="preserve">.</w:t>
      </w:r>
    </w:p>
    <w:p>
      <w:pPr>
        <w:pStyle w:val="FirstParagraph"/>
      </w:pPr>
      <w:r>
        <w:t xml:space="preserve">Допустимо использование чисел-констант и группировка выражений скобками. В случае, когда в функции агрегирования в качестве параметров</w:t>
      </w:r>
      <w:r>
        <w:t xml:space="preserve"> </w:t>
      </w:r>
      <w:r>
        <w:t xml:space="preserve">используется несколько компонентов формы, идентификаторы этих компонентов отделяются друг от друга запятой.</w:t>
      </w:r>
    </w:p>
    <w:p>
      <w:pPr>
        <w:pStyle w:val="BodyText"/>
      </w:pPr>
      <w:r>
        <w:t xml:space="preserve">Выражение может быть оформлено разными способами:</w:t>
      </w:r>
    </w:p>
    <w:p>
      <w:pPr>
        <w:numPr>
          <w:numId w:val="1071"/>
          <w:ilvl w:val="0"/>
        </w:numPr>
      </w:pPr>
      <w:r>
        <w:t xml:space="preserve">с использованием арифметических действий:</w:t>
      </w:r>
      <w:r>
        <w:t xml:space="preserve"> </w:t>
      </w:r>
      <w:r>
        <w:rPr>
          <w:rStyle w:val="VerbatimChar"/>
        </w:rPr>
        <w:t xml:space="preserve">(${cmp1}+${cmp2})/3</w:t>
      </w:r>
    </w:p>
    <w:p>
      <w:pPr>
        <w:numPr>
          <w:numId w:val="1071"/>
          <w:ilvl w:val="0"/>
        </w:numPr>
      </w:pPr>
      <w:r>
        <w:t xml:space="preserve">с использованием функций агрегирования:</w:t>
      </w:r>
      <w:r>
        <w:t xml:space="preserve"> </w:t>
      </w:r>
      <w:r>
        <w:rPr>
          <w:rStyle w:val="VerbatimChar"/>
        </w:rPr>
        <w:t xml:space="preserve">MIN(@{dyntable.cmp1})</w:t>
      </w:r>
      <w:r>
        <w:t xml:space="preserve">,</w:t>
      </w:r>
      <w:r>
        <w:t xml:space="preserve"> </w:t>
      </w:r>
      <w:r>
        <w:rPr>
          <w:rStyle w:val="VerbatimChar"/>
        </w:rPr>
        <w:t xml:space="preserve">AVG(${cmp1},${cmp2})</w:t>
      </w:r>
    </w:p>
    <w:p>
      <w:pPr>
        <w:numPr>
          <w:numId w:val="1071"/>
          <w:ilvl w:val="0"/>
        </w:numPr>
      </w:pPr>
      <w:r>
        <w:t xml:space="preserve">комбинированный вариант:</w:t>
      </w:r>
      <w:r>
        <w:t xml:space="preserve"> </w:t>
      </w:r>
      <w:r>
        <w:rPr>
          <w:rStyle w:val="VerbatimChar"/>
        </w:rPr>
        <w:t xml:space="preserve">COUNT(@{dyntable.cmp1})*${cmp1}+1</w:t>
      </w:r>
    </w:p>
    <w:p>
      <w:pPr>
        <w:pStyle w:val="FirstParagraph"/>
      </w:pPr>
      <w:r>
        <w:t xml:space="preserve">В выражениях допускается использование id компонентов любого типа. Операции выполняются с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компонентов, если они есть, если нет -</w:t>
      </w:r>
      <w:r>
        <w:t xml:space="preserve"> </w:t>
      </w:r>
      <w:r>
        <w:t xml:space="preserve">то с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ключ/значение хотя бы одного из используемых в выражении операндов (компонента или константы) - не число, или указан</w:t>
      </w:r>
      <w:r>
        <w:t xml:space="preserve"> </w:t>
      </w:r>
      <w:r>
        <w:t xml:space="preserve">несуществующий компонент, то выражение считается некорректным.</w:t>
      </w:r>
    </w:p>
    <w:p>
      <w:pPr>
        <w:pStyle w:val="BodyText"/>
      </w:pPr>
      <w:r>
        <w:t xml:space="preserve">При невозможности вычисления выражения (например, при делении на ноль) оно также считается некорректным.</w:t>
      </w:r>
    </w:p>
    <w:p>
      <w:pPr>
        <w:pStyle w:val="BodyText"/>
      </w:pPr>
      <w:r>
        <w:t xml:space="preserve">В случае, если в компоненте указано некорректное выражение, в режиме конструктора и заполнения формы в этом компоненте отображается текст</w:t>
      </w:r>
      <w:r>
        <w:t xml:space="preserve"> </w:t>
      </w:r>
      <w:r>
        <w:rPr>
          <w:rStyle w:val="VerbatimChar"/>
        </w:rPr>
        <w:t xml:space="preserve">#NUM!#</w:t>
      </w:r>
      <w:r>
        <w:t xml:space="preserve">.</w:t>
      </w:r>
    </w:p>
    <w:bookmarkEnd w:id="190"/>
    <w:bookmarkStart w:id="191" w:name="forms.xhtml#id9"/>
    <w:p>
      <w:pPr>
        <w:pStyle w:val="Heading3"/>
      </w:pPr>
      <w:r>
        <w:t xml:space="preserve">4.4.2.3. Работа с динамическими таблицами</w:t>
      </w:r>
    </w:p>
    <w:p>
      <w:pPr>
        <w:pStyle w:val="FirstParagraph"/>
      </w:pPr>
      <w:r>
        <w:t xml:space="preserve">При вычислении с использованием компонентов, расположенных в динамических таблицах, выделяются два случая:</w:t>
      </w:r>
    </w:p>
    <w:p>
      <w:pPr>
        <w:numPr>
          <w:numId w:val="1072"/>
          <w:ilvl w:val="0"/>
        </w:numPr>
      </w:pPr>
      <w:r>
        <w:t xml:space="preserve">Выражение добавлено в компонент, расположенный в динтаблице:</w:t>
      </w:r>
    </w:p>
    <w:p>
      <w:pPr>
        <w:pStyle w:val="BlockText"/>
        <w:numPr>
          <w:numId w:val="1073"/>
          <w:ilvl w:val="1"/>
        </w:numPr>
      </w:pPr>
      <w:r>
        <w:t xml:space="preserve">если в выражении используется агрегирование значений компонентов, расположенных в этой же таблице, то выражение считается некорректным;</w:t>
      </w:r>
    </w:p>
    <w:p>
      <w:pPr>
        <w:pStyle w:val="BlockText"/>
        <w:numPr>
          <w:numId w:val="1073"/>
          <w:ilvl w:val="1"/>
        </w:numPr>
      </w:pPr>
      <w:r>
        <w:t xml:space="preserve">если в выражении используются арифметические действия с компонентами, расположенными в этой же таблице, то операции должны выполняться</w:t>
      </w:r>
      <w:r>
        <w:t xml:space="preserve"> </w:t>
      </w:r>
      <w:r>
        <w:t xml:space="preserve">для компонентов в одном блоке;</w:t>
      </w:r>
    </w:p>
    <w:p>
      <w:pPr>
        <w:pStyle w:val="BlockText"/>
        <w:numPr>
          <w:numId w:val="1073"/>
          <w:ilvl w:val="1"/>
        </w:numPr>
      </w:pPr>
      <w:r>
        <w:t xml:space="preserve">допускается в выражении использовать агрегирование значений компонентов, расположенных в другой динамической таблице.</w:t>
      </w:r>
    </w:p>
    <w:p>
      <w:pPr>
        <w:numPr>
          <w:numId w:val="1072"/>
          <w:ilvl w:val="0"/>
        </w:numPr>
      </w:pPr>
      <w:r>
        <w:t xml:space="preserve">Выражение добавлено в компонент, расположенный вне динтаблицы, и использует компонент в динтаблице:</w:t>
      </w:r>
    </w:p>
    <w:p>
      <w:pPr>
        <w:pStyle w:val="BlockText"/>
        <w:numPr>
          <w:numId w:val="1074"/>
          <w:ilvl w:val="1"/>
        </w:numPr>
      </w:pPr>
      <w:r>
        <w:t xml:space="preserve">если компонент из динтаблице используется без агрегирования, то выражение считается некорректным;</w:t>
      </w:r>
    </w:p>
    <w:p>
      <w:pPr>
        <w:pStyle w:val="BlockText"/>
        <w:numPr>
          <w:numId w:val="1074"/>
          <w:ilvl w:val="1"/>
        </w:numPr>
      </w:pPr>
      <w:r>
        <w:t xml:space="preserve">допускается в выражении использовать агрегирование значений компонентов, расположенных в разных динтаблицах.</w:t>
      </w:r>
    </w:p>
    <w:p>
      <w:pPr>
        <w:pStyle w:val="FirstParagraph"/>
      </w:pPr>
      <w:r>
        <w:rPr>
          <w:b/>
        </w:rPr>
        <w:t xml:space="preserve">Работа с массивами</w:t>
      </w:r>
    </w:p>
    <w:p>
      <w:pPr>
        <w:pStyle w:val="BlockText"/>
      </w:pPr>
      <w:r>
        <w:t xml:space="preserve">Здесь</w:t>
      </w:r>
      <w:r>
        <w:t xml:space="preserve"> </w:t>
      </w:r>
      <w:r>
        <w:rPr>
          <w:i/>
        </w:rPr>
        <w:t xml:space="preserve">массив</w:t>
      </w:r>
      <w:r>
        <w:t xml:space="preserve"> </w:t>
      </w:r>
      <w:r>
        <w:t xml:space="preserve">- набор значений компонента</w:t>
      </w:r>
      <w:r>
        <w:t xml:space="preserve"> </w:t>
      </w:r>
      <w:r>
        <w:rPr>
          <w:rStyle w:val="VerbatimChar"/>
        </w:rPr>
        <w:t xml:space="preserve">cmp</w:t>
      </w:r>
      <w:r>
        <w:t xml:space="preserve"> </w:t>
      </w:r>
      <w:r>
        <w:t xml:space="preserve">во всех блоках динтаблицы</w:t>
      </w:r>
      <w:r>
        <w:t xml:space="preserve"> </w:t>
      </w:r>
      <w:r>
        <w:rPr>
          <w:rStyle w:val="VerbatimChar"/>
        </w:rPr>
        <w:t xml:space="preserve">dyntable</w:t>
      </w:r>
      <w:r>
        <w:t xml:space="preserve">.</w:t>
      </w:r>
    </w:p>
    <w:p>
      <w:pPr>
        <w:pStyle w:val="FirstParagraph"/>
      </w:pPr>
      <w:r>
        <w:t xml:space="preserve">Массив может быть указан только в качестве аргумента функции агрегирования:</w:t>
      </w:r>
      <w:r>
        <w:t xml:space="preserve"> </w:t>
      </w:r>
      <w:r>
        <w:rPr>
          <w:rStyle w:val="VerbatimChar"/>
        </w:rPr>
        <w:t xml:space="preserve">AVG(@{dyntable.cmp})</w:t>
      </w:r>
      <w:r>
        <w:t xml:space="preserve">. Во всех остальных случаях при использовании</w:t>
      </w:r>
      <w:r>
        <w:t xml:space="preserve"> </w:t>
      </w:r>
      <w:r>
        <w:t xml:space="preserve">массива в формуле выражение считается некорректным, в том числе при использовании массива в качестве аргумента арифметических операций:</w:t>
      </w:r>
      <w:r>
        <w:t xml:space="preserve"> </w:t>
      </w:r>
      <w:r>
        <w:t xml:space="preserve">выражение вида</w:t>
      </w:r>
      <w:r>
        <w:t xml:space="preserve"> </w:t>
      </w:r>
      <w:r>
        <w:rPr>
          <w:rStyle w:val="VerbatimChar"/>
        </w:rPr>
        <w:t xml:space="preserve">SUM(@{dyntable.price}*@{dyntable.count})</w:t>
      </w:r>
      <w:r>
        <w:t xml:space="preserve"> </w:t>
      </w:r>
      <w:r>
        <w:t xml:space="preserve">будет считаться некорректным.</w:t>
      </w:r>
    </w:p>
    <w:bookmarkEnd w:id="191"/>
    <w:bookmarkStart w:id="200" w:name="forms.xhtml#id10"/>
    <w:p>
      <w:pPr>
        <w:pStyle w:val="Heading3"/>
      </w:pPr>
      <w:r>
        <w:t xml:space="preserve">4.4.2.4. Пример</w:t>
      </w:r>
    </w:p>
    <w:p>
      <w:pPr>
        <w:pStyle w:val="FirstParagraph"/>
      </w:pPr>
      <w:r>
        <w:t xml:space="preserve">Рассмотрим пример формы «Заказ» со списком товаров и итоговой суммой. Форма может выглядеть так:</w:t>
      </w:r>
    </w:p>
    <w:p>
      <w:pPr>
        <w:pStyle w:val="Compact"/>
      </w:pPr>
      <w:r>
        <w:drawing>
          <wp:inline>
            <wp:extent cx="5334000" cy="3424696"/>
            <wp:effectExtent b="0" l="0" r="0" t="0"/>
            <wp:docPr descr="../_images/image_28.png" title="" id="1" name="Picture"/>
            <a:graphic>
              <a:graphicData uri="http://schemas.openxmlformats.org/drawingml/2006/picture">
                <pic:pic>
                  <pic:nvPicPr>
                    <pic:cNvPr descr="_images/image_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4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Коды компонентов, которые будут участвовать в вычислениях:</w:t>
      </w:r>
    </w:p>
    <w:p>
      <w:pPr>
        <w:numPr>
          <w:numId w:val="1075"/>
          <w:ilvl w:val="0"/>
        </w:numPr>
      </w:pPr>
      <w:r>
        <w:t xml:space="preserve">динамическая таблица со списком товаров:</w:t>
      </w:r>
      <w:r>
        <w:t xml:space="preserve"> </w:t>
      </w:r>
      <w:r>
        <w:rPr>
          <w:rStyle w:val="VerbatimChar"/>
        </w:rPr>
        <w:t xml:space="preserve">itemList</w:t>
      </w:r>
    </w:p>
    <w:p>
      <w:pPr>
        <w:numPr>
          <w:numId w:val="1075"/>
          <w:ilvl w:val="0"/>
        </w:numPr>
      </w:pPr>
      <w:r>
        <w:t xml:space="preserve">цена за единицу товара:</w:t>
      </w:r>
      <w:r>
        <w:t xml:space="preserve"> </w:t>
      </w:r>
      <w:r>
        <w:rPr>
          <w:rStyle w:val="VerbatimChar"/>
        </w:rPr>
        <w:t xml:space="preserve">price</w:t>
      </w:r>
    </w:p>
    <w:p>
      <w:pPr>
        <w:numPr>
          <w:numId w:val="1075"/>
          <w:ilvl w:val="0"/>
        </w:numPr>
      </w:pPr>
      <w:r>
        <w:t xml:space="preserve">количество:</w:t>
      </w:r>
      <w:r>
        <w:t xml:space="preserve"> </w:t>
      </w:r>
      <w:r>
        <w:rPr>
          <w:rStyle w:val="VerbatimChar"/>
        </w:rPr>
        <w:t xml:space="preserve">count</w:t>
      </w:r>
    </w:p>
    <w:p>
      <w:pPr>
        <w:pStyle w:val="FirstParagraph"/>
      </w:pPr>
      <w:r>
        <w:t xml:space="preserve">Сначала добавим компонент для вычисления стоимости товара в таблице. Для этого в столбец «Стоимость» добавим компонент</w:t>
      </w:r>
      <w:r>
        <w:t xml:space="preserve"> </w:t>
      </w:r>
      <w:r>
        <w:t xml:space="preserve">«Вычисляемое поле» с кодом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:</w:t>
      </w:r>
    </w:p>
    <w:p>
      <w:pPr>
        <w:pStyle w:val="Compact"/>
      </w:pPr>
      <w:r>
        <w:drawing>
          <wp:inline>
            <wp:extent cx="5334000" cy="3433965"/>
            <wp:effectExtent b="0" l="0" r="0" t="0"/>
            <wp:docPr descr="../_images/image_29.png" title="" id="1" name="Picture"/>
            <a:graphic>
              <a:graphicData uri="http://schemas.openxmlformats.org/drawingml/2006/picture">
                <pic:pic>
                  <pic:nvPicPr>
                    <pic:cNvPr descr="_images/image_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3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нужно в настройках этого компонента указать формулу для вычисления:</w:t>
      </w:r>
    </w:p>
    <w:p>
      <w:pPr>
        <w:pStyle w:val="Compact"/>
      </w:pPr>
      <w:r>
        <w:drawing>
          <wp:inline>
            <wp:extent cx="5334000" cy="3337577"/>
            <wp:effectExtent b="0" l="0" r="0" t="0"/>
            <wp:docPr descr="../_images/image_30.png" title="" id="1" name="Picture"/>
            <a:graphic>
              <a:graphicData uri="http://schemas.openxmlformats.org/drawingml/2006/picture">
                <pic:pic>
                  <pic:nvPicPr>
                    <pic:cNvPr descr="_images/image_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7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Формула выглядит так:</w:t>
      </w:r>
      <w:r>
        <w:t xml:space="preserve"> </w:t>
      </w:r>
      <w:r>
        <w:rPr>
          <w:rStyle w:val="VerbatimChar"/>
        </w:rPr>
        <w:t xml:space="preserve">#{price}*#{count}</w:t>
      </w:r>
      <w:r>
        <w:t xml:space="preserve">. Здесь:</w:t>
      </w:r>
    </w:p>
    <w:p>
      <w:pPr>
        <w:numPr>
          <w:numId w:val="1076"/>
          <w:ilvl w:val="0"/>
        </w:numPr>
      </w:pPr>
      <w:r>
        <w:t xml:space="preserve">обращение к компонентам выполняется с использованием символа</w:t>
      </w:r>
      <w:r>
        <w:t xml:space="preserve"> </w:t>
      </w:r>
      <w:r>
        <w:rPr>
          <w:rStyle w:val="VerbatimChar"/>
        </w:rPr>
        <w:t xml:space="preserve">#</w:t>
      </w:r>
      <w:r>
        <w:t xml:space="preserve">, потому что необходимо использовать значение из</w:t>
      </w:r>
      <w:r>
        <w:t xml:space="preserve"> </w:t>
      </w:r>
      <w:r>
        <w:t xml:space="preserve">текущей строки динамической таблицы;</w:t>
      </w:r>
    </w:p>
    <w:p>
      <w:pPr>
        <w:numPr>
          <w:numId w:val="1076"/>
          <w:ilvl w:val="0"/>
        </w:numPr>
      </w:pPr>
      <w:r>
        <w:t xml:space="preserve">значения компонентов</w:t>
      </w:r>
      <w:r>
        <w:t xml:space="preserve"> </w:t>
      </w:r>
      <w:r>
        <w:rPr>
          <w:rStyle w:val="VerbatimChar"/>
        </w:rPr>
        <w:t xml:space="preserve">price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count</w:t>
      </w:r>
      <w:r>
        <w:t xml:space="preserve"> </w:t>
      </w:r>
      <w:r>
        <w:t xml:space="preserve">должны быть перемножены между собой.</w:t>
      </w:r>
    </w:p>
    <w:p>
      <w:pPr>
        <w:pStyle w:val="FirstParagraph"/>
      </w:pPr>
      <w:r>
        <w:t xml:space="preserve">Настроенная формула отображается в компоненте при просмотре формы в конструкторе:</w:t>
      </w:r>
    </w:p>
    <w:p>
      <w:pPr>
        <w:pStyle w:val="Compact"/>
      </w:pPr>
      <w:r>
        <w:drawing>
          <wp:inline>
            <wp:extent cx="5334000" cy="3429331"/>
            <wp:effectExtent b="0" l="0" r="0" t="0"/>
            <wp:docPr descr="../_images/image_31.png" title="" id="1" name="Picture"/>
            <a:graphic>
              <a:graphicData uri="http://schemas.openxmlformats.org/drawingml/2006/picture">
                <pic:pic>
                  <pic:nvPicPr>
                    <pic:cNvPr descr="_images/image_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9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Проверить вычисления можно в режиме заполнения формы:</w:t>
      </w:r>
    </w:p>
    <w:p>
      <w:pPr>
        <w:pStyle w:val="Compact"/>
      </w:pPr>
      <w:r>
        <w:drawing>
          <wp:inline>
            <wp:extent cx="5334000" cy="3432313"/>
            <wp:effectExtent b="0" l="0" r="0" t="0"/>
            <wp:docPr descr="../_images/image_32.png" title="" id="1" name="Picture"/>
            <a:graphic>
              <a:graphicData uri="http://schemas.openxmlformats.org/drawingml/2006/picture">
                <pic:pic>
                  <pic:nvPicPr>
                    <pic:cNvPr descr="_images/image_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2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изменении значений в числовых компонентах автоматически пересчитываются вычисляемые поля. В каждой строке таблицы</w:t>
      </w:r>
      <w:r>
        <w:t xml:space="preserve"> </w:t>
      </w:r>
      <w:r>
        <w:t xml:space="preserve">используются значения компонентов этой же строки.</w:t>
      </w:r>
    </w:p>
    <w:p>
      <w:pPr>
        <w:pStyle w:val="BodyText"/>
      </w:pPr>
      <w:r>
        <w:t xml:space="preserve">Теперь настроим вычисление итоговой стоимости. Для этого на форму добавим еще один компонент «Вычисляемое поле» и</w:t>
      </w:r>
      <w:r>
        <w:t xml:space="preserve"> </w:t>
      </w:r>
      <w:r>
        <w:t xml:space="preserve">настроим для него формулу:</w:t>
      </w:r>
    </w:p>
    <w:p>
      <w:pPr>
        <w:pStyle w:val="Compact"/>
      </w:pPr>
      <w:r>
        <w:drawing>
          <wp:inline>
            <wp:extent cx="5334000" cy="3441290"/>
            <wp:effectExtent b="0" l="0" r="0" t="0"/>
            <wp:docPr descr="../_images/image_33.png" title="" id="1" name="Picture"/>
            <a:graphic>
              <a:graphicData uri="http://schemas.openxmlformats.org/drawingml/2006/picture">
                <pic:pic>
                  <pic:nvPicPr>
                    <pic:cNvPr descr="_images/image_3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41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3336041"/>
            <wp:effectExtent b="0" l="0" r="0" t="0"/>
            <wp:docPr descr="../_images/image_34.png" title="" id="1" name="Picture"/>
            <a:graphic>
              <a:graphicData uri="http://schemas.openxmlformats.org/drawingml/2006/picture">
                <pic:pic>
                  <pic:nvPicPr>
                    <pic:cNvPr descr="_images/image_3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6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Используется формула</w:t>
      </w:r>
      <w:r>
        <w:t xml:space="preserve"> </w:t>
      </w:r>
      <w:r>
        <w:rPr>
          <w:rStyle w:val="VerbatimChar"/>
        </w:rPr>
        <w:t xml:space="preserve">SUM(@{itemList.value})</w:t>
      </w:r>
      <w:r>
        <w:t xml:space="preserve">. Здесь:</w:t>
      </w:r>
    </w:p>
    <w:p>
      <w:pPr>
        <w:numPr>
          <w:numId w:val="1077"/>
          <w:ilvl w:val="0"/>
        </w:numPr>
      </w:pPr>
      <w:r>
        <w:rPr>
          <w:rStyle w:val="VerbatimChar"/>
        </w:rPr>
        <w:t xml:space="preserve">SUM()</w:t>
      </w:r>
      <w:r>
        <w:t xml:space="preserve"> </w:t>
      </w:r>
      <w:r>
        <w:t xml:space="preserve">- суммирование компонентов, перечисленных в скобках;</w:t>
      </w:r>
    </w:p>
    <w:p>
      <w:pPr>
        <w:numPr>
          <w:numId w:val="1077"/>
          <w:ilvl w:val="0"/>
        </w:numPr>
      </w:pPr>
      <w:r>
        <w:rPr>
          <w:rStyle w:val="VerbatimChar"/>
        </w:rPr>
        <w:t xml:space="preserve">@{itemList.value}</w:t>
      </w:r>
      <w:r>
        <w:t xml:space="preserve"> </w:t>
      </w:r>
      <w:r>
        <w:t xml:space="preserve">- обращение к компоненту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расположенному в динамической таблице</w:t>
      </w:r>
      <w:r>
        <w:t xml:space="preserve"> </w:t>
      </w:r>
      <w:r>
        <w:rPr>
          <w:rStyle w:val="VerbatimChar"/>
        </w:rPr>
        <w:t xml:space="preserve">itemList</w:t>
      </w:r>
      <w:r>
        <w:t xml:space="preserve">.</w:t>
      </w:r>
    </w:p>
    <w:p>
      <w:pPr>
        <w:pStyle w:val="FirstParagraph"/>
      </w:pPr>
      <w:r>
        <w:t xml:space="preserve">Результатом вычисления будет сумма всех значений компонента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во всех строках динтаблицы.</w:t>
      </w:r>
    </w:p>
    <w:p>
      <w:pPr>
        <w:pStyle w:val="BodyText"/>
      </w:pPr>
      <w:r>
        <w:t xml:space="preserve">Проверим формулу в режиме заполнения формы:</w:t>
      </w:r>
    </w:p>
    <w:p>
      <w:pPr>
        <w:pStyle w:val="Compact"/>
      </w:pPr>
      <w:r>
        <w:drawing>
          <wp:inline>
            <wp:extent cx="5334000" cy="3430984"/>
            <wp:effectExtent b="0" l="0" r="0" t="0"/>
            <wp:docPr descr="../_images/image_35.png" title="" id="1" name="Picture"/>
            <a:graphic>
              <a:graphicData uri="http://schemas.openxmlformats.org/drawingml/2006/picture">
                <pic:pic>
                  <pic:nvPicPr>
                    <pic:cNvPr descr="_images/image_3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Таким образом на форме можно выполнять арифметические действия без использования скриптинга и блокпроцессов.</w:t>
      </w:r>
    </w:p>
    <w:bookmarkEnd w:id="200"/>
    <w:bookmarkEnd w:id="201"/>
    <w:bookmarkStart w:id="205" w:name="forms.xhtml#id11"/>
    <w:p>
      <w:pPr>
        <w:pStyle w:val="Heading2"/>
      </w:pPr>
      <w:r>
        <w:t xml:space="preserve">4.4.3. Поиск в компоненте «Выпадающий список»</w:t>
      </w:r>
    </w:p>
    <w:p>
      <w:pPr>
        <w:pStyle w:val="FirstParagraph"/>
      </w:pPr>
      <w:r>
        <w:t xml:space="preserve">Мы добавили возможность использовать текстовый поиск в компоненте «Выпадающий список». Это удобно при работе с</w:t>
      </w:r>
      <w:r>
        <w:t xml:space="preserve"> </w:t>
      </w:r>
      <w:r>
        <w:t xml:space="preserve">большим количеством элементов в списке. Например, список содержит города Казахстана:</w:t>
      </w:r>
    </w:p>
    <w:p>
      <w:pPr>
        <w:pStyle w:val="Compact"/>
      </w:pPr>
      <w:r>
        <w:drawing>
          <wp:inline>
            <wp:extent cx="5334000" cy="1968418"/>
            <wp:effectExtent b="0" l="0" r="0" t="0"/>
            <wp:docPr descr="../_images/image_36.png" title="" id="1" name="Picture"/>
            <a:graphic>
              <a:graphicData uri="http://schemas.openxmlformats.org/drawingml/2006/picture">
                <pic:pic>
                  <pic:nvPicPr>
                    <pic:cNvPr descr="_images/image_3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8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того, чтобы использовать в поле текстовый поиск, нужно в настройках компонента «Выпадающий список» включить</w:t>
      </w:r>
      <w:r>
        <w:t xml:space="preserve"> </w:t>
      </w:r>
      <w:r>
        <w:t xml:space="preserve">флаг «Позволять поиск»:</w:t>
      </w:r>
    </w:p>
    <w:p>
      <w:pPr>
        <w:pStyle w:val="Compact"/>
      </w:pPr>
      <w:r>
        <w:drawing>
          <wp:inline>
            <wp:extent cx="5334000" cy="3339866"/>
            <wp:effectExtent b="0" l="0" r="0" t="0"/>
            <wp:docPr descr="../_images/image_37.png" title="" id="1" name="Picture"/>
            <a:graphic>
              <a:graphicData uri="http://schemas.openxmlformats.org/drawingml/2006/picture">
                <pic:pic>
                  <pic:nvPicPr>
                    <pic:cNvPr descr="_images/image_3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9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этого в поле списка можно вводить текст, который будет использоваться как фильтр элементов списка:</w:t>
      </w:r>
    </w:p>
    <w:p>
      <w:pPr>
        <w:pStyle w:val="Compact"/>
      </w:pPr>
      <w:r>
        <w:drawing>
          <wp:inline>
            <wp:extent cx="5334000" cy="1270647"/>
            <wp:effectExtent b="0" l="0" r="0" t="0"/>
            <wp:docPr descr="../_images/image_38.png" title="" id="1" name="Picture"/>
            <a:graphic>
              <a:graphicData uri="http://schemas.openxmlformats.org/drawingml/2006/picture">
                <pic:pic>
                  <pic:nvPicPr>
                    <pic:cNvPr descr="_images/image_3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70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05"/>
    <w:bookmarkStart w:id="211" w:name="forms.xhtml#id12"/>
    <w:p>
      <w:pPr>
        <w:pStyle w:val="Heading2"/>
      </w:pPr>
      <w:r>
        <w:t xml:space="preserve">4.4.4. Изменение логики работы метода для заполнения значений компонента «Выбор вариантов»</w:t>
      </w:r>
    </w:p>
    <w:p>
      <w:pPr>
        <w:pStyle w:val="FirstParagraph"/>
      </w:pPr>
      <w:r>
        <w:t xml:space="preserve">В версии 4.1 был обновлен метод</w:t>
      </w:r>
      <w:r>
        <w:t xml:space="preserve"> </w:t>
      </w:r>
      <w:r>
        <w:rPr>
          <w:rStyle w:val="VerbatimChar"/>
        </w:rPr>
        <w:t xml:space="preserve">setValue</w:t>
      </w:r>
      <w:r>
        <w:t xml:space="preserve">, используемый в интерпретаторе для заполнения значений</w:t>
      </w:r>
      <w:r>
        <w:t xml:space="preserve"> </w:t>
      </w:r>
      <w:r>
        <w:t xml:space="preserve">в компоненте «Выбор вариантов».</w:t>
      </w:r>
    </w:p>
    <w:p>
      <w:pPr>
        <w:pStyle w:val="BodyText"/>
      </w:pPr>
      <w:r>
        <w:t xml:space="preserve">Теперь метод принимает на вход массив значений, которые должны быть выделены у компонента. Все остальные</w:t>
      </w:r>
      <w:r>
        <w:t xml:space="preserve"> </w:t>
      </w:r>
      <w:r>
        <w:t xml:space="preserve">элементы при выполнении метода выключаются.</w:t>
      </w:r>
    </w:p>
    <w:bookmarkStart w:id="210" w:name="forms.xhtml#id13"/>
    <w:p>
      <w:pPr>
        <w:pStyle w:val="Heading3"/>
      </w:pPr>
      <w:r>
        <w:t xml:space="preserve">4.4.4.1. Пример</w:t>
      </w:r>
    </w:p>
    <w:p>
      <w:pPr>
        <w:pStyle w:val="FirstParagraph"/>
      </w:pPr>
      <w:r>
        <w:t xml:space="preserve">Предположим, что на форме расположен компонент «Выбор вариантов», элементами которого являются элементы</w:t>
      </w:r>
      <w:r>
        <w:t xml:space="preserve"> </w:t>
      </w:r>
      <w:r>
        <w:t xml:space="preserve">справочника:</w:t>
      </w:r>
    </w:p>
    <w:p>
      <w:pPr>
        <w:pStyle w:val="Compact"/>
      </w:pPr>
      <w:r>
        <w:drawing>
          <wp:inline>
            <wp:extent cx="5334000" cy="3214923"/>
            <wp:effectExtent b="0" l="0" r="0" t="0"/>
            <wp:docPr descr="../_images/checkbox1.png" title="" id="1" name="Picture"/>
            <a:graphic>
              <a:graphicData uri="http://schemas.openxmlformats.org/drawingml/2006/picture">
                <pic:pic>
                  <pic:nvPicPr>
                    <pic:cNvPr descr="_images/checkbox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4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3343701"/>
            <wp:effectExtent b="0" l="0" r="0" t="0"/>
            <wp:docPr descr="../_images/checkbox2.png" title="" id="1" name="Picture"/>
            <a:graphic>
              <a:graphicData uri="http://schemas.openxmlformats.org/drawingml/2006/picture">
                <pic:pic>
                  <pic:nvPicPr>
                    <pic:cNvPr descr="_images/checkbox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43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Создадим новый скрипт интерпретатора с кодом: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//в компоненте checklist включить элементы item1 и item3, остальные отключить</w:t>
      </w:r>
      <w:r>
        <w:br w:type="textWrapping"/>
      </w:r>
      <w:r>
        <w:rPr>
          <w:rStyle w:val="VerbatimChar"/>
        </w:rPr>
        <w:t xml:space="preserve">form.setValue("checklist","item3, item1");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"OK";</w:t>
      </w:r>
    </w:p>
    <w:p>
      <w:pPr>
        <w:pStyle w:val="FirstParagraph"/>
      </w:pPr>
      <w:r>
        <w:t xml:space="preserve">С помощью пробного запуска проверим работу скрипта на тестовой записи:</w:t>
      </w:r>
    </w:p>
    <w:p>
      <w:pPr>
        <w:pStyle w:val="Compact"/>
      </w:pPr>
      <w:r>
        <w:drawing>
          <wp:inline>
            <wp:extent cx="5334000" cy="2232991"/>
            <wp:effectExtent b="0" l="0" r="0" t="0"/>
            <wp:docPr descr="../_images/checkbox3.png" title="" id="1" name="Picture"/>
            <a:graphic>
              <a:graphicData uri="http://schemas.openxmlformats.org/drawingml/2006/picture">
                <pic:pic>
                  <pic:nvPicPr>
                    <pic:cNvPr descr="_images/checkbox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2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выполнения скрипта в записи выделены только те элементы, которые были перечислены в методе</w:t>
      </w:r>
      <w:r>
        <w:t xml:space="preserve"> </w:t>
      </w:r>
      <w:r>
        <w:rPr>
          <w:rStyle w:val="VerbatimChar"/>
        </w:rPr>
        <w:t xml:space="preserve">setValue</w:t>
      </w:r>
      <w:r>
        <w:t xml:space="preserve">,</w:t>
      </w:r>
      <w:r>
        <w:t xml:space="preserve"> </w:t>
      </w:r>
      <w:r>
        <w:t xml:space="preserve">остальные элементы выключены:</w:t>
      </w:r>
    </w:p>
    <w:p>
      <w:pPr>
        <w:pStyle w:val="Compact"/>
      </w:pPr>
      <w:r>
        <w:drawing>
          <wp:inline>
            <wp:extent cx="5334000" cy="2100052"/>
            <wp:effectExtent b="0" l="0" r="0" t="0"/>
            <wp:docPr descr="../_images/checkbox4.png" title="" id="1" name="Picture"/>
            <a:graphic>
              <a:graphicData uri="http://schemas.openxmlformats.org/drawingml/2006/picture">
                <pic:pic>
                  <pic:nvPicPr>
                    <pic:cNvPr descr="_images/checkbox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0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10"/>
    <w:bookmarkEnd w:id="211"/>
    <w:bookmarkEnd w:id="212"/>
    <w:p>
      <w:pPr>
        <w:pStyle w:val="BodyText"/>
      </w:pPr>
      <w:bookmarkStart w:id="213" w:name="set-responsible.xhtml"/>
      <w:bookmarkEnd w:id="213"/>
    </w:p>
    <w:bookmarkStart w:id="226" w:name="set-responsible.xhtml#id1"/>
    <w:p>
      <w:pPr>
        <w:pStyle w:val="Heading1"/>
      </w:pPr>
      <w:r>
        <w:t xml:space="preserve">4.5. Доработка процесса указания ответственного по этапу маршрута должностью</w:t>
      </w:r>
    </w:p>
    <w:p>
      <w:pPr>
        <w:pStyle w:val="FirstParagraph"/>
      </w:pPr>
      <w:r>
        <w:t xml:space="preserve">Часто возникает необходимость в этапе маршрута реестра указать в качестве ответственного не конкретного сотрудника,</w:t>
      </w:r>
      <w:r>
        <w:t xml:space="preserve"> </w:t>
      </w:r>
      <w:r>
        <w:t xml:space="preserve">а некоторую должность. Ранее в этом случае руководителю указанной должности необходимо было выбрать ответственного</w:t>
      </w:r>
      <w:r>
        <w:t xml:space="preserve"> </w:t>
      </w:r>
      <w:r>
        <w:t xml:space="preserve">по этому этапу через модуль «Ежедневник»:</w:t>
      </w:r>
    </w:p>
    <w:p>
      <w:pPr>
        <w:pStyle w:val="Compact"/>
      </w:pPr>
      <w:r>
        <w:drawing>
          <wp:inline>
            <wp:extent cx="5334000" cy="2783681"/>
            <wp:effectExtent b="0" l="0" r="0" t="0"/>
            <wp:docPr descr="../_images/image_9.png" title="" id="1" name="Picture"/>
            <a:graphic>
              <a:graphicData uri="http://schemas.openxmlformats.org/drawingml/2006/picture">
                <pic:pic>
                  <pic:nvPicPr>
                    <pic:cNvPr descr="_images/image_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 такой реализации было несколько проблем:</w:t>
      </w:r>
    </w:p>
    <w:p>
      <w:pPr>
        <w:numPr>
          <w:numId w:val="1078"/>
          <w:ilvl w:val="0"/>
        </w:numPr>
      </w:pPr>
      <w:r>
        <w:t xml:space="preserve">руководителю, несмотря на наличие новой заметки в Ежедневнике, не отображался счетчик новых уведомлений</w:t>
      </w:r>
      <w:r>
        <w:t xml:space="preserve"> </w:t>
      </w:r>
      <w:r>
        <w:t xml:space="preserve">(на иконке модуля);</w:t>
      </w:r>
    </w:p>
    <w:p>
      <w:pPr>
        <w:numPr>
          <w:numId w:val="1078"/>
          <w:ilvl w:val="0"/>
        </w:numPr>
      </w:pPr>
      <w:r>
        <w:t xml:space="preserve">пока руководитель не выбрал ответственного сотрудника, в ходе выполнения документа либо указывался этап</w:t>
      </w:r>
      <w:r>
        <w:t xml:space="preserve"> </w:t>
      </w:r>
      <w:r>
        <w:t xml:space="preserve">без ответственного, либо вовсе не отображался текущий этап - в зависимости от того, содержится ли текущий</w:t>
      </w:r>
      <w:r>
        <w:t xml:space="preserve"> </w:t>
      </w:r>
      <w:r>
        <w:t xml:space="preserve">этап в шаблоне маршрута или напрямую в маршруте реестра.</w:t>
      </w:r>
    </w:p>
    <w:p>
      <w:pPr>
        <w:pStyle w:val="FirstParagraph"/>
      </w:pPr>
      <w:r>
        <w:t xml:space="preserve">Мы изменили это поведение, реализовав</w:t>
      </w:r>
      <w:r>
        <w:t xml:space="preserve"> </w:t>
      </w:r>
      <w:r>
        <w:rPr>
          <w:b/>
        </w:rPr>
        <w:t xml:space="preserve">новый процесс «Выбор исполнителя»</w:t>
      </w:r>
      <w:r>
        <w:t xml:space="preserve"> </w:t>
      </w:r>
      <w:r>
        <w:t xml:space="preserve">- работа руководителю должности</w:t>
      </w:r>
      <w:r>
        <w:t xml:space="preserve"> </w:t>
      </w:r>
      <w:r>
        <w:t xml:space="preserve">по выбору исполнителя. Эта работа, как и все остальные, отображается в потоке работ руководителя:</w:t>
      </w:r>
    </w:p>
    <w:p>
      <w:pPr>
        <w:pStyle w:val="Compact"/>
      </w:pPr>
      <w:r>
        <w:drawing>
          <wp:inline>
            <wp:extent cx="5334000" cy="1225721"/>
            <wp:effectExtent b="0" l="0" r="0" t="0"/>
            <wp:docPr descr="../_images/image_10.png" title="" id="1" name="Picture"/>
            <a:graphic>
              <a:graphicData uri="http://schemas.openxmlformats.org/drawingml/2006/picture">
                <pic:pic>
                  <pic:nvPicPr>
                    <pic:cNvPr descr="_images/image_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2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Полный алгоритм определения руководителя, который должен выбрать ответственного исполнителя для работы в случае,</w:t>
      </w:r>
      <w:r>
        <w:t xml:space="preserve"> </w:t>
      </w:r>
      <w:r>
        <w:t xml:space="preserve">когда на указанную должность назначено два или более сотрудников:</w:t>
      </w:r>
    </w:p>
    <w:p>
      <w:pPr>
        <w:numPr>
          <w:numId w:val="1079"/>
          <w:ilvl w:val="0"/>
        </w:numPr>
      </w:pPr>
      <w:r>
        <w:t xml:space="preserve">проверяется наличие у руководителя подразделения, к которому относится должность, заместителей;</w:t>
      </w:r>
    </w:p>
    <w:p>
      <w:pPr>
        <w:pStyle w:val="BlockText"/>
        <w:numPr>
          <w:numId w:val="1080"/>
          <w:ilvl w:val="1"/>
        </w:numPr>
      </w:pPr>
      <w:r>
        <w:t xml:space="preserve">если для подразделения должности есть ровно один заместитель, то работа по выбору ответственного ставится ему;</w:t>
      </w:r>
    </w:p>
    <w:p>
      <w:pPr>
        <w:pStyle w:val="BlockText"/>
        <w:numPr>
          <w:numId w:val="1080"/>
          <w:ilvl w:val="1"/>
        </w:numPr>
      </w:pPr>
      <w:r>
        <w:t xml:space="preserve">если для подразделения должности есть несколько заместителей, то им всем будут созданы</w:t>
      </w:r>
      <w:r>
        <w:t xml:space="preserve"> </w:t>
      </w:r>
      <w:r>
        <w:rPr>
          <w:i/>
        </w:rPr>
        <w:t xml:space="preserve">параллельные</w:t>
      </w:r>
      <w:r>
        <w:t xml:space="preserve"> </w:t>
      </w:r>
      <w:r>
        <w:t xml:space="preserve">работы по</w:t>
      </w:r>
      <w:r>
        <w:t xml:space="preserve"> </w:t>
      </w:r>
      <w:r>
        <w:t xml:space="preserve">выбору ответственного; как только один из заместителей завершил свою работу, она завершается и у остальных.</w:t>
      </w:r>
    </w:p>
    <w:p>
      <w:pPr>
        <w:numPr>
          <w:numId w:val="1079"/>
          <w:ilvl w:val="0"/>
        </w:numPr>
      </w:pPr>
      <w:r>
        <w:t xml:space="preserve">если для подразделения должности нет заместителей, то проверяется наличие И.О. руководителя;</w:t>
      </w:r>
    </w:p>
    <w:p>
      <w:pPr>
        <w:pStyle w:val="BlockText"/>
        <w:numPr>
          <w:numId w:val="1081"/>
          <w:ilvl w:val="1"/>
        </w:numPr>
      </w:pPr>
      <w:r>
        <w:t xml:space="preserve">если есть И.О., то ему и ставится работа по выбору ответственного;</w:t>
      </w:r>
    </w:p>
    <w:p>
      <w:pPr>
        <w:numPr>
          <w:numId w:val="1079"/>
          <w:ilvl w:val="0"/>
        </w:numPr>
      </w:pPr>
      <w:r>
        <w:t xml:space="preserve">если у подразделения должности не найдено ни заместителей, ни И.О., то выполняется поиск руководителя подразделения;</w:t>
      </w:r>
    </w:p>
    <w:p>
      <w:pPr>
        <w:pStyle w:val="BlockText"/>
        <w:numPr>
          <w:numId w:val="1082"/>
          <w:ilvl w:val="1"/>
        </w:numPr>
      </w:pPr>
      <w:r>
        <w:t xml:space="preserve">если руководитель нашелся - ему ставится работа по выбору ответственного.</w:t>
      </w:r>
    </w:p>
    <w:p>
      <w:pPr>
        <w:numPr>
          <w:numId w:val="1079"/>
          <w:ilvl w:val="0"/>
        </w:numPr>
      </w:pPr>
      <w:r>
        <w:t xml:space="preserve">в случае, когда в подразделении не найдены ни заместители, ни И.О., ни руководитель, то все проверки повторяются на</w:t>
      </w:r>
      <w:r>
        <w:t xml:space="preserve"> </w:t>
      </w:r>
      <w:r>
        <w:t xml:space="preserve">уровень выше, для родительского подразделения.</w:t>
      </w:r>
    </w:p>
    <w:p>
      <w:pPr>
        <w:pStyle w:val="FirstParagraph"/>
      </w:pPr>
      <w:r>
        <w:t xml:space="preserve">Альтернативные потоки событий:</w:t>
      </w:r>
    </w:p>
    <w:p>
      <w:pPr>
        <w:numPr>
          <w:numId w:val="1083"/>
          <w:ilvl w:val="0"/>
        </w:numPr>
      </w:pPr>
      <w:r>
        <w:t xml:space="preserve">если на указанную должность не назначено ни одного пользователя, маршрут прерывается с комментарием:</w:t>
      </w:r>
      <w:r>
        <w:t xml:space="preserve"> </w:t>
      </w:r>
      <w:r>
        <w:rPr>
          <w:i/>
        </w:rPr>
        <w:t xml:space="preserve">«Нет ни одного пользователя, назначенного на указанную должность»</w:t>
      </w:r>
      <w:r>
        <w:t xml:space="preserve">;</w:t>
      </w:r>
    </w:p>
    <w:p>
      <w:pPr>
        <w:numPr>
          <w:numId w:val="1083"/>
          <w:ilvl w:val="0"/>
        </w:numPr>
      </w:pPr>
      <w:r>
        <w:t xml:space="preserve">если на должность назначен ровно один пользователь, то выбор исполнителя не запускается - в качестве</w:t>
      </w:r>
      <w:r>
        <w:t xml:space="preserve"> </w:t>
      </w:r>
      <w:r>
        <w:t xml:space="preserve">исполнителя автоматически указывается этот пользователь, ему и создается работа;</w:t>
      </w:r>
    </w:p>
    <w:p>
      <w:pPr>
        <w:numPr>
          <w:numId w:val="1083"/>
          <w:ilvl w:val="0"/>
        </w:numPr>
      </w:pPr>
      <w:r>
        <w:t xml:space="preserve">если для должности нет ни одного руководителя, заместителя или И.О. вплоть до корневого подразделения,</w:t>
      </w:r>
      <w:r>
        <w:t xml:space="preserve"> </w:t>
      </w:r>
      <w:r>
        <w:t xml:space="preserve">маршрут прерывается с комментарием:</w:t>
      </w:r>
      <w:r>
        <w:t xml:space="preserve"> </w:t>
      </w:r>
      <w:r>
        <w:rPr>
          <w:i/>
        </w:rPr>
        <w:t xml:space="preserve">«Нет ни одного руководителя для указанной должности»</w:t>
      </w:r>
      <w:r>
        <w:t xml:space="preserve">.</w:t>
      </w:r>
    </w:p>
    <w:bookmarkStart w:id="217" w:name="set-responsible.xhtml#api"/>
    <w:p>
      <w:pPr>
        <w:pStyle w:val="Heading2"/>
      </w:pPr>
      <w:r>
        <w:t xml:space="preserve">4.5.1. Метод API</w:t>
      </w:r>
    </w:p>
    <w:p>
      <w:pPr>
        <w:pStyle w:val="FirstParagraph"/>
      </w:pPr>
      <w:r>
        <w:t xml:space="preserve">Для обеспечения интеграции реализован</w:t>
      </w:r>
      <w:r>
        <w:t xml:space="preserve"> </w:t>
      </w:r>
      <w:hyperlink r:id="rId216">
        <w:r>
          <w:rPr>
            <w:rStyle w:val="Hyperlink"/>
          </w:rPr>
          <w:t xml:space="preserve">метод API</w:t>
        </w:r>
      </w:hyperlink>
      <w:r>
        <w:t xml:space="preserve"> </w:t>
      </w:r>
      <w:r>
        <w:t xml:space="preserve">[http://tdd.lan.arta.kz/docs/synergy/minsky/sdk-doc/swagger/#/workflow/post_api_workflow_work_set_responsibles]</w:t>
      </w:r>
      <w:r>
        <w:t xml:space="preserve">, позволяющий руководителю указать ответственного по этапу работы.</w:t>
      </w:r>
    </w:p>
    <w:p>
      <w:pPr>
        <w:pStyle w:val="BodyText"/>
      </w:pPr>
      <w:r>
        <w:t xml:space="preserve">URL метода:</w:t>
      </w:r>
      <w:r>
        <w:t xml:space="preserve"> </w:t>
      </w:r>
      <w:r>
        <w:rPr>
          <w:rStyle w:val="VerbatimChar"/>
        </w:rPr>
        <w:t xml:space="preserve">rest/api/workflow/work/set_responsibles</w:t>
      </w:r>
    </w:p>
    <w:p>
      <w:pPr>
        <w:pStyle w:val="BodyText"/>
      </w:pPr>
      <w:r>
        <w:t xml:space="preserve">Параметры:</w:t>
      </w:r>
    </w:p>
    <w:p>
      <w:pPr>
        <w:numPr>
          <w:numId w:val="1084"/>
          <w:ilvl w:val="0"/>
        </w:numPr>
      </w:pPr>
      <w:r>
        <w:rPr>
          <w:rStyle w:val="VerbatimChar"/>
        </w:rPr>
        <w:t xml:space="preserve">workID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работы</w:t>
      </w:r>
    </w:p>
    <w:p>
      <w:pPr>
        <w:numPr>
          <w:numId w:val="1084"/>
          <w:ilvl w:val="0"/>
        </w:numPr>
      </w:pPr>
      <w:r>
        <w:rPr>
          <w:rStyle w:val="VerbatimChar"/>
        </w:rPr>
        <w:t xml:space="preserve">responsibles</w:t>
      </w:r>
      <w:r>
        <w:t xml:space="preserve"> </w:t>
      </w:r>
      <w:r>
        <w:t xml:space="preserve">- массив UUID пользователей должности, которым будет назначена работа</w:t>
      </w:r>
    </w:p>
    <w:bookmarkEnd w:id="217"/>
    <w:bookmarkStart w:id="218" w:name="set-responsible.xhtml#id3"/>
    <w:p>
      <w:pPr>
        <w:pStyle w:val="Heading2"/>
      </w:pPr>
      <w:r>
        <w:t xml:space="preserve">4.5.2. Событие создания работы по выбору ответственного</w:t>
      </w:r>
    </w:p>
    <w:p>
      <w:pPr>
        <w:pStyle w:val="FirstParagraph"/>
      </w:pPr>
      <w:r>
        <w:t xml:space="preserve">При создании работы по выбору ответственного генерируется событие</w:t>
      </w:r>
      <w:r>
        <w:t xml:space="preserve"> </w:t>
      </w:r>
      <w:r>
        <w:rPr>
          <w:rStyle w:val="VerbatimChar"/>
        </w:rPr>
        <w:t xml:space="preserve">event.workflow.choose.user.create</w:t>
      </w:r>
      <w:r>
        <w:t xml:space="preserve">, параметрами которого</w:t>
      </w:r>
      <w:r>
        <w:t xml:space="preserve"> </w:t>
      </w:r>
      <w:r>
        <w:t xml:space="preserve">являются код этапа маршрута реестра и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указанной в качестве ответственного должности.</w:t>
      </w:r>
    </w:p>
    <w:bookmarkEnd w:id="218"/>
    <w:bookmarkStart w:id="219" w:name="set-responsible.xhtml#id4"/>
    <w:p>
      <w:pPr>
        <w:pStyle w:val="Heading2"/>
      </w:pPr>
      <w:r>
        <w:t xml:space="preserve">4.5.3. Действия при обновлении</w:t>
      </w:r>
    </w:p>
    <w:p>
      <w:pPr>
        <w:pStyle w:val="FirstParagraph"/>
      </w:pPr>
      <w:r>
        <w:t xml:space="preserve">При обновлении Synergy с версии</w:t>
      </w:r>
      <w:r>
        <w:t xml:space="preserve"> </w:t>
      </w:r>
      <w:r>
        <w:rPr>
          <w:rStyle w:val="VerbatimChar"/>
        </w:rPr>
        <w:t xml:space="preserve">hamming</w:t>
      </w:r>
      <w:r>
        <w:t xml:space="preserve"> </w:t>
      </w:r>
      <w:r>
        <w:t xml:space="preserve">на версию</w:t>
      </w:r>
      <w:r>
        <w:t xml:space="preserve"> </w:t>
      </w:r>
      <w:r>
        <w:rPr>
          <w:rStyle w:val="VerbatimChar"/>
        </w:rPr>
        <w:t xml:space="preserve">minsky</w:t>
      </w:r>
      <w:r>
        <w:t xml:space="preserve"> </w:t>
      </w:r>
      <w:r>
        <w:t xml:space="preserve">все запущенные процессы по выбору ответственного будут перенесены</w:t>
      </w:r>
      <w:r>
        <w:t xml:space="preserve"> </w:t>
      </w:r>
      <w:r>
        <w:t xml:space="preserve">из Ежедневника руководителя в его потоки работ.</w:t>
      </w:r>
    </w:p>
    <w:bookmarkEnd w:id="219"/>
    <w:bookmarkStart w:id="225" w:name="set-responsible.xhtml#id5"/>
    <w:p>
      <w:pPr>
        <w:pStyle w:val="Heading2"/>
      </w:pPr>
      <w:r>
        <w:t xml:space="preserve">4.5.4. Пример</w:t>
      </w:r>
    </w:p>
    <w:p>
      <w:pPr>
        <w:pStyle w:val="FirstParagraph"/>
      </w:pPr>
      <w:r>
        <w:t xml:space="preserve">В маршруте реестра был добавлен этап «Работа», где в качестве ответственного была выбрана должность “Менеджер по продажам”:</w:t>
      </w:r>
    </w:p>
    <w:p>
      <w:pPr>
        <w:pStyle w:val="Compact"/>
      </w:pPr>
      <w:r>
        <w:drawing>
          <wp:inline>
            <wp:extent cx="5334000" cy="4098982"/>
            <wp:effectExtent b="0" l="0" r="0" t="0"/>
            <wp:docPr descr="../_images/image_11.png" title="" id="1" name="Picture"/>
            <a:graphic>
              <a:graphicData uri="http://schemas.openxmlformats.org/drawingml/2006/picture">
                <pic:pic>
                  <pic:nvPicPr>
                    <pic:cNvPr descr="_images/image_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98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3521901"/>
            <wp:effectExtent b="0" l="0" r="0" t="0"/>
            <wp:docPr descr="../_images/image_12.png" title="" id="1" name="Picture"/>
            <a:graphic>
              <a:graphicData uri="http://schemas.openxmlformats.org/drawingml/2006/picture">
                <pic:pic>
                  <pic:nvPicPr>
                    <pic:cNvPr descr="_images/image_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1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эту должность назначено несколько сотрудников.</w:t>
      </w:r>
    </w:p>
    <w:p>
      <w:pPr>
        <w:pStyle w:val="BodyText"/>
      </w:pPr>
      <w:r>
        <w:t xml:space="preserve">После отправки на активацию записи этого реестра выполняется поиск заместителя, И.О. или руководителя того подразделения,</w:t>
      </w:r>
      <w:r>
        <w:t xml:space="preserve"> </w:t>
      </w:r>
      <w:r>
        <w:t xml:space="preserve">к которому относится эта должность - в нашем случае подразделения «Отдел продаж Астана» - и ему создается работа с формулировкой</w:t>
      </w:r>
      <w:r>
        <w:t xml:space="preserve"> </w:t>
      </w:r>
      <w:r>
        <w:t xml:space="preserve">“Необходимо выбрать пользователя для выполнения работы”:</w:t>
      </w:r>
    </w:p>
    <w:p>
      <w:pPr>
        <w:pStyle w:val="Compact"/>
      </w:pPr>
      <w:r>
        <w:drawing>
          <wp:inline>
            <wp:extent cx="5334000" cy="1225721"/>
            <wp:effectExtent b="0" l="0" r="0" t="0"/>
            <wp:docPr descr="../_images/image_13.png" title="" id="1" name="Picture"/>
            <a:graphic>
              <a:graphicData uri="http://schemas.openxmlformats.org/drawingml/2006/picture">
                <pic:pic>
                  <pic:nvPicPr>
                    <pic:cNvPr descr="_images/image_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2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завершения работы нужно нажать на кнопку «Выбрать исполнителя». Откроется диалог выбора пользователей:</w:t>
      </w:r>
    </w:p>
    <w:p>
      <w:pPr>
        <w:pStyle w:val="Compact"/>
      </w:pPr>
      <w:r>
        <w:drawing>
          <wp:inline>
            <wp:extent cx="5334000" cy="3392365"/>
            <wp:effectExtent b="0" l="0" r="0" t="0"/>
            <wp:docPr descr="../_images/image_14.png" title="" id="1" name="Picture"/>
            <a:graphic>
              <a:graphicData uri="http://schemas.openxmlformats.org/drawingml/2006/picture">
                <pic:pic>
                  <pic:nvPicPr>
                    <pic:cNvPr descr="_images/image_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2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Пользователи здесь уже отфильтрованы согласно указанной должности.</w:t>
      </w:r>
    </w:p>
    <w:p>
      <w:pPr>
        <w:pStyle w:val="BodyText"/>
      </w:pPr>
      <w:r>
        <w:t xml:space="preserve">Руководитель должен выбрать сотрудника для выполнения этапа маршрута и завершить свою работу, нажав на кнопку «Выбрать».</w:t>
      </w:r>
    </w:p>
    <w:p>
      <w:pPr>
        <w:pStyle w:val="BodyText"/>
      </w:pPr>
      <w:r>
        <w:t xml:space="preserve">Доступен выбор нескольких сотрудников: в этом случае для них будут созданы параллельные работы.</w:t>
      </w:r>
    </w:p>
    <w:p>
      <w:pPr>
        <w:pStyle w:val="BodyText"/>
      </w:pPr>
      <w:r>
        <w:t xml:space="preserve">Работа по выбору ответственного отображается и в ходе выполнения документа:</w:t>
      </w:r>
    </w:p>
    <w:p>
      <w:pPr>
        <w:pStyle w:val="Compact"/>
      </w:pPr>
      <w:r>
        <w:drawing>
          <wp:inline>
            <wp:extent cx="5334000" cy="1013517"/>
            <wp:effectExtent b="0" l="0" r="0" t="0"/>
            <wp:docPr descr="../_images/image_15.png" title="" id="1" name="Picture"/>
            <a:graphic>
              <a:graphicData uri="http://schemas.openxmlformats.org/drawingml/2006/picture">
                <pic:pic>
                  <pic:nvPicPr>
                    <pic:cNvPr descr="_images/image_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13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25"/>
    <w:bookmarkEnd w:id="226"/>
    <w:p>
      <w:pPr>
        <w:pStyle w:val="BodyText"/>
      </w:pPr>
      <w:bookmarkStart w:id="227" w:name="custom-modules.xhtml"/>
      <w:bookmarkEnd w:id="227"/>
    </w:p>
    <w:bookmarkStart w:id="233" w:name="custom-modules.xhtml#id1"/>
    <w:p>
      <w:pPr>
        <w:pStyle w:val="Heading1"/>
      </w:pPr>
      <w:r>
        <w:t xml:space="preserve">4.6. Доработка внешних модулей</w:t>
      </w:r>
    </w:p>
    <w:p>
      <w:pPr>
        <w:pStyle w:val="FirstParagraph"/>
      </w:pPr>
      <w:r>
        <w:t xml:space="preserve">В новой версии Synergy мы доработали возможность настройки внешних модулей.</w:t>
      </w:r>
    </w:p>
    <w:bookmarkStart w:id="231" w:name="custom-modules.xhtml#id2"/>
    <w:p>
      <w:pPr>
        <w:pStyle w:val="Heading2"/>
      </w:pPr>
      <w:r>
        <w:t xml:space="preserve">4.6.1. Назначение прав на внешний модуль с помощью групп пользователей</w:t>
      </w:r>
    </w:p>
    <w:p>
      <w:pPr>
        <w:pStyle w:val="FirstParagraph"/>
      </w:pPr>
      <w:r>
        <w:t xml:space="preserve">Ранее настройка доступа к внешнему модулю выполнялась в Административном приложении:</w:t>
      </w:r>
    </w:p>
    <w:p>
      <w:pPr>
        <w:pStyle w:val="Compact"/>
      </w:pPr>
      <w:r>
        <w:drawing>
          <wp:inline>
            <wp:extent cx="5334000" cy="7235686"/>
            <wp:effectExtent b="0" l="0" r="0" t="0"/>
            <wp:docPr descr="../_images/image_16.png" title="" id="1" name="Picture"/>
            <a:graphic>
              <a:graphicData uri="http://schemas.openxmlformats.org/drawingml/2006/picture">
                <pic:pic>
                  <pic:nvPicPr>
                    <pic:cNvPr descr="_images/image_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35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новой версии мы реализовали назначение прав на внешний модуль в самом редакторе этого модуля в Synergy IDE:</w:t>
      </w:r>
    </w:p>
    <w:p>
      <w:pPr>
        <w:pStyle w:val="Compact"/>
      </w:pPr>
      <w:r>
        <w:drawing>
          <wp:inline>
            <wp:extent cx="5334000" cy="4169297"/>
            <wp:effectExtent b="0" l="0" r="0" t="0"/>
            <wp:docPr descr="../_images/image_17.png" title="" id="1" name="Picture"/>
            <a:graphic>
              <a:graphicData uri="http://schemas.openxmlformats.org/drawingml/2006/picture">
                <pic:pic>
                  <pic:nvPicPr>
                    <pic:cNvPr descr="_images/image_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9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экспорте и импорте приложения Synergy IDE также будут перенесены и указанные во внешнем модуле группы пользователей.</w:t>
      </w:r>
    </w:p>
    <w:bookmarkStart w:id="230" w:name="custom-modules.xhtml#id3"/>
    <w:p>
      <w:pPr>
        <w:pStyle w:val="Heading3"/>
      </w:pPr>
      <w:r>
        <w:t xml:space="preserve">4.6.1.1. Действия при обновлении</w:t>
      </w:r>
    </w:p>
    <w:p>
      <w:pPr>
        <w:pStyle w:val="FirstParagraph"/>
      </w:pPr>
      <w:r>
        <w:t xml:space="preserve">При обновлении системы в таблицу прав внешнего модуля будут добавлены служебные группы, соответствующие подразделениям</w:t>
      </w:r>
      <w:r>
        <w:t xml:space="preserve"> </w:t>
      </w:r>
      <w:r>
        <w:t xml:space="preserve">и должностям организационной структуры, у которых был доступ к этому модулю.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Обратите внимание: персональные права одного пользователя на внешний модуль сохранены не будут. В частности, это относится к настройкам вида:</w:t>
      </w:r>
    </w:p>
    <w:p>
      <w:pPr>
        <w:numPr>
          <w:numId w:val="1085"/>
          <w:ilvl w:val="0"/>
        </w:numPr>
      </w:pPr>
      <w:r>
        <w:t xml:space="preserve">подразделению доступен внешний модуль, но у некоторых сотрудников этого подразделения доступ к модулю отключен;</w:t>
      </w:r>
    </w:p>
    <w:p>
      <w:pPr>
        <w:numPr>
          <w:numId w:val="1085"/>
          <w:ilvl w:val="0"/>
        </w:numPr>
      </w:pPr>
      <w:r>
        <w:t xml:space="preserve">подразделению в целом модуль недоступен, но некоторым сотрудникам этого подразделения был предоставлен доступ к нему.</w:t>
      </w:r>
    </w:p>
    <w:bookmarkEnd w:id="230"/>
    <w:bookmarkEnd w:id="231"/>
    <w:bookmarkStart w:id="232" w:name="custom-modules.xhtml#id4"/>
    <w:p>
      <w:pPr>
        <w:pStyle w:val="Heading2"/>
      </w:pPr>
      <w:r>
        <w:t xml:space="preserve">4.6.2. Расширение возможности авторизации по ключам</w:t>
      </w:r>
    </w:p>
    <w:p>
      <w:pPr>
        <w:pStyle w:val="FirstParagraph"/>
      </w:pPr>
      <w:r>
        <w:t xml:space="preserve">Для внешних модулей была добавлена новая настройка:</w:t>
      </w:r>
      <w:r>
        <w:t xml:space="preserve"> </w:t>
      </w:r>
      <w:r>
        <w:rPr>
          <w:b/>
        </w:rPr>
        <w:t xml:space="preserve">время действия ключа</w:t>
      </w:r>
      <w:r>
        <w:t xml:space="preserve"> </w:t>
      </w:r>
      <w:r>
        <w:t xml:space="preserve">(в минутах). Сгенерированный ключ</w:t>
      </w:r>
      <w:r>
        <w:t xml:space="preserve"> </w:t>
      </w:r>
      <w:r>
        <w:t xml:space="preserve">(при авторизации пользователя в модуле) будет действителен только этот период времени.</w:t>
      </w:r>
    </w:p>
    <w:p>
      <w:pPr>
        <w:pStyle w:val="BodyText"/>
      </w:pPr>
      <w:r>
        <w:t xml:space="preserve">Обновить ключ можно с помощью метода API</w:t>
      </w:r>
      <w:r>
        <w:t xml:space="preserve"> </w:t>
      </w:r>
      <w:r>
        <w:rPr>
          <w:rStyle w:val="VerbatimChar"/>
        </w:rPr>
        <w:t xml:space="preserve">rest/api/person/update_auth_key_expire</w:t>
      </w:r>
      <w:r>
        <w:t xml:space="preserve">.</w:t>
      </w:r>
    </w:p>
    <w:p>
      <w:pPr>
        <w:pStyle w:val="BodyText"/>
      </w:pPr>
      <w:r>
        <w:t xml:space="preserve">При изменении данной настройки во внешнем модуле будет изменен период устаревания всех активных ключей этого модуля.</w:t>
      </w:r>
    </w:p>
    <w:bookmarkEnd w:id="232"/>
    <w:bookmarkEnd w:id="233"/>
    <w:p>
      <w:pPr>
        <w:pStyle w:val="BodyText"/>
      </w:pPr>
      <w:bookmarkStart w:id="234" w:name="filters.xhtml"/>
      <w:bookmarkEnd w:id="234"/>
    </w:p>
    <w:bookmarkStart w:id="238" w:name="filters.xhtml#id1"/>
    <w:p>
      <w:pPr>
        <w:pStyle w:val="Heading1"/>
      </w:pPr>
      <w:r>
        <w:t xml:space="preserve">4.7. Сравнение дробных чисел в фильтрах реестров</w:t>
      </w:r>
    </w:p>
    <w:p>
      <w:pPr>
        <w:pStyle w:val="FirstParagraph"/>
      </w:pPr>
      <w:r>
        <w:t xml:space="preserve">До версии 4.0 включительно сравнение чисел в фильтрах реестров выполнялось с отбрасыванием дробной части. Например,</w:t>
      </w:r>
      <w:r>
        <w:t xml:space="preserve"> </w:t>
      </w:r>
      <w:r>
        <w:t xml:space="preserve">в фильтр с условием «число меньше или равно 3» попадают записи, в которых числовое поле равно</w:t>
      </w:r>
      <w:r>
        <w:t xml:space="preserve"> </w:t>
      </w:r>
      <w:r>
        <w:rPr>
          <w:rStyle w:val="VerbatimChar"/>
        </w:rPr>
        <w:t xml:space="preserve">2.8</w:t>
      </w:r>
      <w:r>
        <w:t xml:space="preserve">,</w:t>
      </w:r>
      <w:r>
        <w:t xml:space="preserve"> </w:t>
      </w:r>
      <w:r>
        <w:rPr>
          <w:rStyle w:val="VerbatimChar"/>
        </w:rPr>
        <w:t xml:space="preserve">3.2</w:t>
      </w:r>
      <w:r>
        <w:t xml:space="preserve">,</w:t>
      </w:r>
      <w:r>
        <w:t xml:space="preserve"> </w:t>
      </w:r>
      <w:r>
        <w:rPr>
          <w:rStyle w:val="VerbatimChar"/>
        </w:rPr>
        <w:t xml:space="preserve">3.6</w:t>
      </w:r>
      <w:r>
        <w:t xml:space="preserve">:</w:t>
      </w:r>
    </w:p>
    <w:p>
      <w:pPr>
        <w:pStyle w:val="Compact"/>
      </w:pPr>
      <w:r>
        <w:drawing>
          <wp:inline>
            <wp:extent cx="5334000" cy="2175592"/>
            <wp:effectExtent b="0" l="0" r="0" t="0"/>
            <wp:docPr descr="../_images/image_49.png" title="" id="1" name="Picture"/>
            <a:graphic>
              <a:graphicData uri="http://schemas.openxmlformats.org/drawingml/2006/picture">
                <pic:pic>
                  <pic:nvPicPr>
                    <pic:cNvPr descr="_images/image_4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55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новой версии мы исправили эту проблему. Теперь при проверке выполнения условия фильтра сравнение чисел выполняется</w:t>
      </w:r>
      <w:r>
        <w:t xml:space="preserve"> </w:t>
      </w:r>
      <w:r>
        <w:t xml:space="preserve">корректно:</w:t>
      </w:r>
    </w:p>
    <w:p>
      <w:pPr>
        <w:pStyle w:val="Compact"/>
      </w:pPr>
      <w:r>
        <w:drawing>
          <wp:inline>
            <wp:extent cx="5334000" cy="1520990"/>
            <wp:effectExtent b="0" l="0" r="0" t="0"/>
            <wp:docPr descr="../_images/image_50.png" title="" id="1" name="Picture"/>
            <a:graphic>
              <a:graphicData uri="http://schemas.openxmlformats.org/drawingml/2006/picture">
                <pic:pic>
                  <pic:nvPicPr>
                    <pic:cNvPr descr="_images/image_5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0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Фильтр «число меньше или равно 3» содержит только одну запись, где значение числового поля равно</w:t>
      </w:r>
      <w:r>
        <w:t xml:space="preserve"> </w:t>
      </w:r>
      <w:r>
        <w:rPr>
          <w:rStyle w:val="VerbatimChar"/>
        </w:rPr>
        <w:t xml:space="preserve">2.8</w:t>
      </w:r>
      <w:r>
        <w:t xml:space="preserve">:</w:t>
      </w:r>
    </w:p>
    <w:p>
      <w:pPr>
        <w:pStyle w:val="Compact"/>
      </w:pPr>
      <w:r>
        <w:drawing>
          <wp:inline>
            <wp:extent cx="5334000" cy="1304866"/>
            <wp:effectExtent b="0" l="0" r="0" t="0"/>
            <wp:docPr descr="../_images/image_51.png" title="" id="1" name="Picture"/>
            <a:graphic>
              <a:graphicData uri="http://schemas.openxmlformats.org/drawingml/2006/picture">
                <pic:pic>
                  <pic:nvPicPr>
                    <pic:cNvPr descr="_images/image_5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4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8"/>
    <w:p>
      <w:pPr>
        <w:pStyle w:val="BodyText"/>
      </w:pPr>
      <w:bookmarkStart w:id="239" w:name="dict-import.xhtml"/>
      <w:bookmarkEnd w:id="239"/>
    </w:p>
    <w:bookmarkStart w:id="255" w:name="dict-import.xhtml#id1"/>
    <w:p>
      <w:pPr>
        <w:pStyle w:val="Heading1"/>
      </w:pPr>
      <w:r>
        <w:t xml:space="preserve">4.8. Импорт элементов в справочник</w:t>
      </w:r>
    </w:p>
    <w:p>
      <w:pPr>
        <w:pStyle w:val="FirstParagraph"/>
      </w:pPr>
      <w:r>
        <w:t xml:space="preserve">При разработке бизнес-приложений часто возникает потребность добавить в справочник большое количество элементов.</w:t>
      </w:r>
      <w:r>
        <w:t xml:space="preserve"> </w:t>
      </w:r>
      <w:r>
        <w:t xml:space="preserve">Мы реализовали возможность импорта элементов справочника из файлов</w:t>
      </w:r>
      <w:r>
        <w:t xml:space="preserve"> </w:t>
      </w:r>
      <w:r>
        <w:rPr>
          <w:rStyle w:val="VerbatimChar"/>
        </w:rPr>
        <w:t xml:space="preserve">xls</w:t>
      </w:r>
      <w:r>
        <w:t xml:space="preserve">,</w:t>
      </w:r>
      <w:r>
        <w:t xml:space="preserve"> </w:t>
      </w:r>
      <w:r>
        <w:rPr>
          <w:rStyle w:val="VerbatimChar"/>
        </w:rPr>
        <w:t xml:space="preserve">xlsx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.</w:t>
      </w:r>
    </w:p>
    <w:p>
      <w:pPr>
        <w:pStyle w:val="BodyText"/>
      </w:pPr>
      <w:r>
        <w:t xml:space="preserve">Кнопка импорта</w:t>
      </w:r>
      <w:r>
        <w:t xml:space="preserve"> </w:t>
      </w:r>
      <w:r>
        <w:drawing>
          <wp:inline>
            <wp:extent cx="203200" cy="203200"/>
            <wp:effectExtent b="0" l="0" r="0" t="0"/>
            <wp:docPr descr="import" title="" id="1" name="Picture"/>
            <a:graphic>
              <a:graphicData uri="http://schemas.openxmlformats.org/drawingml/2006/picture">
                <pic:pic>
                  <pic:nvPicPr>
                    <pic:cNvPr descr="_images/image_3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расположена в разделе «Элементы» редактора справочника:</w:t>
      </w:r>
    </w:p>
    <w:p>
      <w:pPr>
        <w:pStyle w:val="Compact"/>
      </w:pPr>
      <w:r>
        <w:drawing>
          <wp:inline>
            <wp:extent cx="5334000" cy="1635284"/>
            <wp:effectExtent b="0" l="0" r="0" t="0"/>
            <wp:docPr descr="../_images/image_40.png" title="" id="1" name="Picture"/>
            <a:graphic>
              <a:graphicData uri="http://schemas.openxmlformats.org/drawingml/2006/picture">
                <pic:pic>
                  <pic:nvPicPr>
                    <pic:cNvPr descr="_images/image_4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35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46" w:name="dict-import.xhtml#id2"/>
    <w:p>
      <w:pPr>
        <w:pStyle w:val="Heading2"/>
      </w:pPr>
      <w:r>
        <w:t xml:space="preserve">4.8.1. Общее описание процесса импорта</w:t>
      </w:r>
    </w:p>
    <w:bookmarkStart w:id="242" w:name="dict-import.xhtml#id3"/>
    <w:p>
      <w:pPr>
        <w:pStyle w:val="Heading3"/>
      </w:pPr>
      <w:r>
        <w:t xml:space="preserve">4.8.1.1. Сопоставление импортированных элементов элементам справочника</w:t>
      </w:r>
    </w:p>
    <w:p>
      <w:pPr>
        <w:pStyle w:val="FirstParagraph"/>
      </w:pPr>
      <w:r>
        <w:t xml:space="preserve">В первой строке импортируемого файла обязательно должны быть указаны заголовки столбцов, соответствующие кодам</w:t>
      </w:r>
      <w:r>
        <w:t xml:space="preserve"> </w:t>
      </w:r>
      <w:r>
        <w:t xml:space="preserve">столбцов справочника.</w:t>
      </w:r>
    </w:p>
    <w:p>
      <w:pPr>
        <w:pStyle w:val="BodyText"/>
      </w:pPr>
      <w:r>
        <w:t xml:space="preserve">После импорта файла выполняется проверка его структуры. Для того, чтобы строки файла были успешно сопоставлены</w:t>
      </w:r>
      <w:r>
        <w:t xml:space="preserve"> </w:t>
      </w:r>
      <w:r>
        <w:t xml:space="preserve">элементам справочника, необходимо, чтобы значения ячеек первой строки совпадали с кодами столбцов справочника.</w:t>
      </w:r>
    </w:p>
    <w:p>
      <w:pPr>
        <w:numPr>
          <w:numId w:val="1086"/>
          <w:ilvl w:val="0"/>
        </w:numPr>
      </w:pPr>
      <w:r>
        <w:t xml:space="preserve">Для каждой строки файла, начиная со второй, будет создан новый элемент справочника.</w:t>
      </w:r>
    </w:p>
    <w:p>
      <w:pPr>
        <w:numPr>
          <w:numId w:val="1086"/>
          <w:ilvl w:val="0"/>
        </w:numPr>
      </w:pPr>
      <w:r>
        <w:t xml:space="preserve">Если для столбца файла не нашлось совпадения с кодом столбца справочника, этот столбец будет проигнорирован.</w:t>
      </w:r>
    </w:p>
    <w:p>
      <w:pPr>
        <w:numPr>
          <w:numId w:val="1086"/>
          <w:ilvl w:val="0"/>
        </w:numPr>
      </w:pPr>
      <w:r>
        <w:t xml:space="preserve">Если в файле нет столбца с заголовком, совпадающим с кодом столбца справочника (с точностью до локали),</w:t>
      </w:r>
      <w:r>
        <w:t xml:space="preserve"> </w:t>
      </w:r>
      <w:r>
        <w:t xml:space="preserve">то соответствующие поля для элементов справочника останутся пустыми.</w:t>
      </w:r>
    </w:p>
    <w:p>
      <w:pPr>
        <w:pStyle w:val="FirstParagraph"/>
      </w:pPr>
      <w:r>
        <w:t xml:space="preserve">На этом этапе могут возникнуть ошибки:</w:t>
      </w:r>
    </w:p>
    <w:p>
      <w:pPr>
        <w:numPr>
          <w:numId w:val="1087"/>
          <w:ilvl w:val="0"/>
        </w:numPr>
      </w:pPr>
      <w:r>
        <w:t xml:space="preserve">В выбранном файле нет ни одного столбца, заголовок которого соответствует коду столбца справочника.</w:t>
      </w:r>
      <w:r>
        <w:t xml:space="preserve"> </w:t>
      </w:r>
      <w:r>
        <w:t xml:space="preserve">Импорт не выполняется, система отображает сообщение об ошибке с текстом:</w:t>
      </w:r>
    </w:p>
    <w:p>
      <w:pPr>
        <w:pStyle w:val="BlockText"/>
        <w:numPr>
          <w:numId w:val="1000"/>
          <w:ilvl w:val="0"/>
        </w:numPr>
      </w:pPr>
      <w:r>
        <w:rPr>
          <w:i/>
        </w:rPr>
        <w:t xml:space="preserve">Не удалось распознать содержимое файла. Заголовки столбцов в файле должны совпадать с кодами столбцов справочника.</w:t>
      </w:r>
    </w:p>
    <w:p>
      <w:pPr>
        <w:numPr>
          <w:numId w:val="1087"/>
          <w:ilvl w:val="0"/>
        </w:numPr>
      </w:pPr>
      <w:r>
        <w:t xml:space="preserve">В выбранном файле есть два или более столбца, в заголовке которых указан одинаковый код столбца справочника.</w:t>
      </w:r>
      <w:r>
        <w:t xml:space="preserve"> </w:t>
      </w:r>
      <w:r>
        <w:t xml:space="preserve">Импорт не выполняется, система отображает сообщение об ошибке с текстом:</w:t>
      </w:r>
    </w:p>
    <w:p>
      <w:pPr>
        <w:pStyle w:val="BlockText"/>
        <w:numPr>
          <w:numId w:val="1000"/>
          <w:ilvl w:val="0"/>
        </w:numPr>
      </w:pPr>
      <w:r>
        <w:rPr>
          <w:i/>
        </w:rPr>
        <w:t xml:space="preserve">Не удалось распознать содержимое файла. Файл содержит столбцы с дублирующимися заголовками.</w:t>
      </w:r>
    </w:p>
    <w:bookmarkEnd w:id="242"/>
    <w:bookmarkStart w:id="243" w:name="dict-import.xhtml#id4"/>
    <w:p>
      <w:pPr>
        <w:pStyle w:val="Heading3"/>
      </w:pPr>
      <w:r>
        <w:t xml:space="preserve">4.8.1.2. Переводимые столбцы</w:t>
      </w:r>
    </w:p>
    <w:p>
      <w:pPr>
        <w:pStyle w:val="FirstParagraph"/>
      </w:pPr>
      <w:r>
        <w:t xml:space="preserve">Если поле справочника является переводимым, то в импортируемом файле этому полю можно задать либо общее значение для всех локалей,</w:t>
      </w:r>
      <w:r>
        <w:t xml:space="preserve"> </w:t>
      </w:r>
      <w:r>
        <w:t xml:space="preserve">либо отдельные переводы для каждого языка.</w:t>
      </w:r>
    </w:p>
    <w:p>
      <w:pPr>
        <w:pStyle w:val="BodyText"/>
      </w:pPr>
      <w:r>
        <w:t xml:space="preserve">В общем случае каждому переводимому столбцу справочника могут соответствовать несколько столбцов в файле с заголовками вида</w:t>
      </w:r>
      <w:r>
        <w:t xml:space="preserve"> </w:t>
      </w:r>
      <w:r>
        <w:rPr>
          <w:rStyle w:val="VerbatimChar"/>
        </w:rPr>
        <w:t xml:space="preserve">&lt;код_столбца&gt;/&lt;код_локали&gt;</w:t>
      </w:r>
      <w:r>
        <w:t xml:space="preserve">.</w:t>
      </w:r>
    </w:p>
    <w:p>
      <w:pPr>
        <w:pStyle w:val="BodyText"/>
      </w:pPr>
      <w:r>
        <w:rPr>
          <w:b/>
        </w:rPr>
        <w:t xml:space="preserve">Случай 1:</w:t>
      </w:r>
      <w:r>
        <w:t xml:space="preserve"> </w:t>
      </w:r>
      <w:r>
        <w:t xml:space="preserve">переводимому столбцу справочника соответствует один столбец в файле с заголовком</w:t>
      </w:r>
      <w:r>
        <w:t xml:space="preserve"> </w:t>
      </w:r>
      <w:r>
        <w:rPr>
          <w:rStyle w:val="VerbatimChar"/>
        </w:rPr>
        <w:t xml:space="preserve">&lt;код_столбца&gt;</w:t>
      </w:r>
      <w:r>
        <w:t xml:space="preserve">. В этом случае</w:t>
      </w:r>
      <w:r>
        <w:t xml:space="preserve"> </w:t>
      </w:r>
      <w:r>
        <w:t xml:space="preserve">для каждого импортируемого элемента в каждой локали, в том числе в локали по умолчанию, будет указано одно и то же значение</w:t>
      </w:r>
      <w:r>
        <w:t xml:space="preserve"> </w:t>
      </w:r>
      <w:r>
        <w:t xml:space="preserve">соответствующей строки файла.</w:t>
      </w:r>
    </w:p>
    <w:p>
      <w:pPr>
        <w:pStyle w:val="BodyText"/>
      </w:pPr>
      <w:r>
        <w:rPr>
          <w:b/>
        </w:rPr>
        <w:t xml:space="preserve">Случай 2:</w:t>
      </w:r>
      <w:r>
        <w:t xml:space="preserve"> </w:t>
      </w:r>
      <w:r>
        <w:t xml:space="preserve">переводимому столбцу справочника соответствует несколько столбцов в файле с заголовком</w:t>
      </w:r>
      <w:r>
        <w:t xml:space="preserve"> </w:t>
      </w:r>
      <w:r>
        <w:rPr>
          <w:rStyle w:val="VerbatimChar"/>
        </w:rPr>
        <w:t xml:space="preserve">&lt;код_столбца&gt;/&lt;код_локали&gt;</w:t>
      </w:r>
      <w:r>
        <w:t xml:space="preserve">.</w:t>
      </w:r>
      <w:r>
        <w:t xml:space="preserve"> </w:t>
      </w:r>
      <w:r>
        <w:t xml:space="preserve">В этом случае в переводах каждого элемента будет указано соответствующее локали значение из столбца файла.</w:t>
      </w:r>
    </w:p>
    <w:p>
      <w:pPr>
        <w:pStyle w:val="BodyText"/>
      </w:pPr>
      <w:r>
        <w:t xml:space="preserve">Если для отдельной локали нет соответствующего столбца в файле, в переводах элемента для нее используется значение локали по умолчанию.</w:t>
      </w:r>
    </w:p>
    <w:p>
      <w:pPr>
        <w:pStyle w:val="BodyText"/>
      </w:pPr>
      <w:r>
        <w:t xml:space="preserve">Если в заголовке столбца в файле указан несуществующий код локали, этот столбец будет проигнорирован.</w:t>
      </w:r>
    </w:p>
    <w:bookmarkEnd w:id="243"/>
    <w:bookmarkStart w:id="245" w:name="dict-import.xhtml#id5"/>
    <w:p>
      <w:pPr>
        <w:pStyle w:val="Heading3"/>
      </w:pPr>
      <w:r>
        <w:t xml:space="preserve">4.8.1.3. Результат проверки</w:t>
      </w:r>
    </w:p>
    <w:p>
      <w:pPr>
        <w:pStyle w:val="FirstParagraph"/>
      </w:pPr>
      <w:r>
        <w:t xml:space="preserve">Если проверка структуры импортируемого файла завершилась успешно, то отображается диалог с примером элементов, которые будут</w:t>
      </w:r>
      <w:r>
        <w:t xml:space="preserve"> </w:t>
      </w:r>
      <w:r>
        <w:t xml:space="preserve">добавлены в результате импорта:</w:t>
      </w:r>
    </w:p>
    <w:p>
      <w:pPr>
        <w:pStyle w:val="Compact"/>
      </w:pPr>
      <w:r>
        <w:drawing>
          <wp:inline>
            <wp:extent cx="5130800" cy="4356100"/>
            <wp:effectExtent b="0" l="0" r="0" t="0"/>
            <wp:docPr descr="../_images/image_41.png" title="" id="1" name="Picture"/>
            <a:graphic>
              <a:graphicData uri="http://schemas.openxmlformats.org/drawingml/2006/picture">
                <pic:pic>
                  <pic:nvPicPr>
                    <pic:cNvPr descr="_images/image_4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этом этапе можно оценить, насколько корректно был сформирован файл для импорта, и отменить импорт при необходимости.</w:t>
      </w:r>
      <w:r>
        <w:t xml:space="preserve"> </w:t>
      </w:r>
      <w:r>
        <w:t xml:space="preserve">Непосредственно создание новых элементов справочника будет выполнено после нажатия на кнопку «Импортировать».</w:t>
      </w:r>
    </w:p>
    <w:bookmarkEnd w:id="245"/>
    <w:bookmarkEnd w:id="246"/>
    <w:bookmarkStart w:id="254" w:name="dict-import.xhtml#id6"/>
    <w:p>
      <w:pPr>
        <w:pStyle w:val="Heading2"/>
      </w:pPr>
      <w:r>
        <w:t xml:space="preserve">4.8.2. Пример</w:t>
      </w:r>
    </w:p>
    <w:p>
      <w:pPr>
        <w:pStyle w:val="FirstParagraph"/>
      </w:pPr>
      <w:r>
        <w:t xml:space="preserve">Предположим, нужно импортировать в справочник перечень городов Казахстана, причем названия городов должны быть указаны на трех языках.</w:t>
      </w:r>
    </w:p>
    <w:p>
      <w:pPr>
        <w:pStyle w:val="BodyText"/>
      </w:pPr>
      <w:r>
        <w:t xml:space="preserve">Сначала настроим справочник «Города»:</w:t>
      </w:r>
    </w:p>
    <w:p>
      <w:pPr>
        <w:pStyle w:val="Compact"/>
      </w:pPr>
      <w:r>
        <w:drawing>
          <wp:inline>
            <wp:extent cx="5334000" cy="3601423"/>
            <wp:effectExtent b="0" l="0" r="0" t="0"/>
            <wp:docPr descr="../_images/image_42.png" title="" id="1" name="Picture"/>
            <a:graphic>
              <a:graphicData uri="http://schemas.openxmlformats.org/drawingml/2006/picture">
                <pic:pic>
                  <pic:nvPicPr>
                    <pic:cNvPr descr="_images/image_4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1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Справочник содержит три поля: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code</w:t>
      </w:r>
      <w:r>
        <w:t xml:space="preserve"> </w:t>
      </w:r>
      <w:r>
        <w:t xml:space="preserve">- код элемента, поле будет служить ключом для справочника;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distr</w:t>
      </w:r>
      <w:r>
        <w:t xml:space="preserve"> </w:t>
      </w:r>
      <w:r>
        <w:t xml:space="preserve">- название области, переводимое поле;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city</w:t>
      </w:r>
      <w:r>
        <w:t xml:space="preserve"> </w:t>
      </w:r>
      <w:r>
        <w:t xml:space="preserve">- название города, переводимое поле.</w:t>
      </w:r>
    </w:p>
    <w:p>
      <w:pPr>
        <w:pStyle w:val="FirstParagraph"/>
      </w:pPr>
      <w:r>
        <w:t xml:space="preserve">Далее нужно заполнить файл, который будем импортировать:</w:t>
      </w:r>
    </w:p>
    <w:p>
      <w:pPr>
        <w:pStyle w:val="Compact"/>
      </w:pPr>
      <w:r>
        <w:drawing>
          <wp:inline>
            <wp:extent cx="5334000" cy="3680514"/>
            <wp:effectExtent b="0" l="0" r="0" t="0"/>
            <wp:docPr descr="../_images/image_43.png" title="" id="1" name="Picture"/>
            <a:graphic>
              <a:graphicData uri="http://schemas.openxmlformats.org/drawingml/2006/picture">
                <pic:pic>
                  <pic:nvPicPr>
                    <pic:cNvPr descr="_images/image_4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0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Первой строкой в таблице указаны коды столбцов справочника, для переводимых столбцов через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указаны коды локалей.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Коды локалей настраиваются в Настройках платформы, раздел «Настройки системы» - “Региональные настройки” - “Языки”.</w:t>
      </w:r>
    </w:p>
    <w:p>
      <w:pPr>
        <w:pStyle w:val="BodyText"/>
      </w:pPr>
      <w:r>
        <w:t xml:space="preserve">Локалью системы по умолчанию является та, которая указана в таблице первой:</w:t>
      </w:r>
    </w:p>
    <w:p>
      <w:pPr>
        <w:pStyle w:val="Compact"/>
      </w:pPr>
      <w:r>
        <w:drawing>
          <wp:inline>
            <wp:extent cx="5334000" cy="1389341"/>
            <wp:effectExtent b="0" l="0" r="0" t="0"/>
            <wp:docPr descr="../_images/image_44.png" title="" id="1" name="Picture"/>
            <a:graphic>
              <a:graphicData uri="http://schemas.openxmlformats.org/drawingml/2006/picture">
                <pic:pic>
                  <pic:nvPicPr>
                    <pic:cNvPr descr="_images/image_4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импортируем созданный файл в справочник Synergy IDE:</w:t>
      </w:r>
    </w:p>
    <w:p>
      <w:pPr>
        <w:pStyle w:val="Compact"/>
      </w:pPr>
      <w:r>
        <w:drawing>
          <wp:inline>
            <wp:extent cx="5334000" cy="3596556"/>
            <wp:effectExtent b="0" l="0" r="0" t="0"/>
            <wp:docPr descr="../_images/image_45.png" title="" id="1" name="Picture"/>
            <a:graphic>
              <a:graphicData uri="http://schemas.openxmlformats.org/drawingml/2006/picture">
                <pic:pic>
                  <pic:nvPicPr>
                    <pic:cNvPr descr="_images/image_4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Превью результатов импорта выглядит так:</w:t>
      </w:r>
    </w:p>
    <w:p>
      <w:pPr>
        <w:pStyle w:val="Compact"/>
      </w:pPr>
      <w:r>
        <w:drawing>
          <wp:inline>
            <wp:extent cx="5334000" cy="3596556"/>
            <wp:effectExtent b="0" l="0" r="0" t="0"/>
            <wp:docPr descr="../_images/image_46.png" title="" id="1" name="Picture"/>
            <a:graphic>
              <a:graphicData uri="http://schemas.openxmlformats.org/drawingml/2006/picture">
                <pic:pic>
                  <pic:nvPicPr>
                    <pic:cNvPr descr="_images/image_4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этом диалоге можно открыть переводы отдельного поля и проверить, как они были заполнены. Например, для города Акколь</w:t>
      </w:r>
      <w:r>
        <w:t xml:space="preserve"> </w:t>
      </w:r>
      <w:r>
        <w:t xml:space="preserve">переводы выглядят таким образом:</w:t>
      </w:r>
    </w:p>
    <w:p>
      <w:pPr>
        <w:pStyle w:val="Compact"/>
      </w:pPr>
      <w:r>
        <w:drawing>
          <wp:inline>
            <wp:extent cx="5334000" cy="4559709"/>
            <wp:effectExtent b="0" l="0" r="0" t="0"/>
            <wp:docPr descr="../_images/image_47.png" title="" id="1" name="Picture"/>
            <a:graphic>
              <a:graphicData uri="http://schemas.openxmlformats.org/drawingml/2006/picture">
                <pic:pic>
                  <pic:nvPicPr>
                    <pic:cNvPr descr="_images/image_4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59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Видно, что локали</w:t>
      </w:r>
      <w:r>
        <w:t xml:space="preserve"> </w:t>
      </w:r>
      <w:r>
        <w:rPr>
          <w:rStyle w:val="VerbatimChar"/>
        </w:rPr>
        <w:t xml:space="preserve">ru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kk</w:t>
      </w:r>
      <w:r>
        <w:t xml:space="preserve">, настроенные в файле, были заполнены соответствующими значениями. Для локалей</w:t>
      </w:r>
      <w:r>
        <w:t xml:space="preserve"> </w:t>
      </w:r>
      <w:r>
        <w:rPr>
          <w:rStyle w:val="VerbatimChar"/>
        </w:rPr>
        <w:t xml:space="preserve">en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jp</w:t>
      </w:r>
      <w:r>
        <w:t xml:space="preserve">,</w:t>
      </w:r>
      <w:r>
        <w:t xml:space="preserve"> </w:t>
      </w:r>
      <w:r>
        <w:t xml:space="preserve">которые не были указаны в файле, был использован перевод из локали по умолчанию (локаль</w:t>
      </w:r>
      <w:r>
        <w:t xml:space="preserve"> </w:t>
      </w:r>
      <w:r>
        <w:rPr>
          <w:rStyle w:val="VerbatimChar"/>
        </w:rPr>
        <w:t xml:space="preserve">ru</w:t>
      </w:r>
      <w:r>
        <w:t xml:space="preserve">).</w:t>
      </w:r>
    </w:p>
    <w:p>
      <w:pPr>
        <w:pStyle w:val="BodyText"/>
      </w:pPr>
      <w:r>
        <w:t xml:space="preserve">Выполним импорт элементов из файла:</w:t>
      </w:r>
    </w:p>
    <w:p>
      <w:pPr>
        <w:pStyle w:val="Compact"/>
      </w:pPr>
      <w:r>
        <w:drawing>
          <wp:inline>
            <wp:extent cx="5334000" cy="3596556"/>
            <wp:effectExtent b="0" l="0" r="0" t="0"/>
            <wp:docPr descr="../_images/image_48.png" title="" id="1" name="Picture"/>
            <a:graphic>
              <a:graphicData uri="http://schemas.openxmlformats.org/drawingml/2006/picture">
                <pic:pic>
                  <pic:nvPicPr>
                    <pic:cNvPr descr="_images/image_4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Таким образом значительно упрощается задача импорта большого количества элементов в справочники Synergy.</w:t>
      </w:r>
    </w:p>
    <w:bookmarkEnd w:id="254"/>
    <w:bookmarkEnd w:id="255"/>
    <w:p>
      <w:pPr>
        <w:pStyle w:val="BodyText"/>
      </w:pPr>
      <w:bookmarkStart w:id="256" w:name="upgrade.xhtml"/>
      <w:bookmarkEnd w:id="256"/>
    </w:p>
    <w:bookmarkStart w:id="260" w:name="upgrade.xhtml#arta-synergy-4-1-minsky"/>
    <w:p>
      <w:pPr>
        <w:pStyle w:val="Heading1"/>
      </w:pPr>
      <w:r>
        <w:t xml:space="preserve">5. Особенности установки ARTA Synergy 4.1 minsky</w:t>
      </w:r>
    </w:p>
    <w:bookmarkStart w:id="257" w:name="upgrade.xhtml#id1"/>
    <w:p>
      <w:pPr>
        <w:pStyle w:val="Heading2"/>
      </w:pPr>
      <w:r>
        <w:t xml:space="preserve">5.1. Процесс обновления</w:t>
      </w:r>
    </w:p>
    <w:p>
      <w:pPr>
        <w:pStyle w:val="FirstParagraph"/>
      </w:pPr>
      <w:r>
        <w:rPr>
          <w:b/>
        </w:rPr>
        <w:t xml:space="preserve">Перед установкой:</w:t>
      </w:r>
    </w:p>
    <w:p>
      <w:pPr>
        <w:numPr>
          <w:numId w:val="1089"/>
          <w:ilvl w:val="0"/>
        </w:numPr>
      </w:pPr>
      <w:r>
        <w:t xml:space="preserve">обязательно прописать hostname сервера (см. раздел «Переход к использованию Wildfly»):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echo "127.0.0.1    $(hostname)" &gt;&gt; /etc/hosts</w:t>
      </w:r>
    </w:p>
    <w:p>
      <w:pPr>
        <w:numPr>
          <w:numId w:val="1089"/>
          <w:ilvl w:val="0"/>
        </w:numPr>
      </w:pPr>
      <w:r>
        <w:t xml:space="preserve">при необходимости создать резервные копии конфигурационных файлов: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/etc/default/arta-synergy-jboss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/opt/synergy/jboss/bin/standalone.conf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/opt/synergy/jboss/standalone/configuration/standalone.xml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/opt/synergy/jboss/standalone/configuration/standalone-full.xml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/opt/synergy/jboss/standalone/deployments/Synergy.ear/META-INF/jboss-deployment-structure.xml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/opt/synergy/utils/configs/nginx/synergy-base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/opt/synergy/jboss/standalone/configuration/arta/esb/docIndex.xml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/opt/synergy/jboss/standalone/configuration/arta/esb/fileIndex.xml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/opt/synergy/jboss/standalone/configuration/arta/esb/formIndex.xml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/opt/synergy/jboss/standalone/configuration/standalone-onesynergy.xml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/opt/synergy/jboss/standalone/deployments/Synergy.ear/META-INF/application.xml</w:t>
      </w:r>
    </w:p>
    <w:p>
      <w:pPr>
        <w:pStyle w:val="BlockText"/>
        <w:numPr>
          <w:numId w:val="1090"/>
          <w:ilvl w:val="1"/>
        </w:numPr>
      </w:pPr>
      <w:r>
        <w:rPr>
          <w:rStyle w:val="VerbatimChar"/>
        </w:rPr>
        <w:t xml:space="preserve">/opt/synergy/jboss/standalone/configuration/arta/api-observation-configuration.xml</w:t>
      </w:r>
    </w:p>
    <w:p>
      <w:pPr>
        <w:numPr>
          <w:numId w:val="1089"/>
          <w:ilvl w:val="0"/>
        </w:numPr>
      </w:pPr>
      <w:r>
        <w:t xml:space="preserve">сделать резервные копии баз данных и Хранилища</w:t>
      </w:r>
    </w:p>
    <w:p>
      <w:pPr>
        <w:pStyle w:val="FirstParagraph"/>
      </w:pPr>
      <w:r>
        <w:rPr>
          <w:b/>
        </w:rPr>
        <w:t xml:space="preserve">Во время установки:</w:t>
      </w:r>
      <w:r>
        <w:t xml:space="preserve"> </w:t>
      </w:r>
      <w:r>
        <w:t xml:space="preserve">необходимо принять рекомендованные изменения конфигурационных файлов и решения по изменению/удалению</w:t>
      </w:r>
      <w:r>
        <w:t xml:space="preserve"> </w:t>
      </w:r>
      <w:r>
        <w:t xml:space="preserve">пакетов Synergy:</w:t>
      </w:r>
    </w:p>
    <w:p>
      <w:pPr>
        <w:pStyle w:val="SourceCode"/>
      </w:pPr>
      <w:r>
        <w:rPr>
          <w:rStyle w:val="VerbatimChar"/>
        </w:rPr>
        <w:t xml:space="preserve">The following NEW packages will be installed:</w:t>
      </w:r>
      <w:r>
        <w:br w:type="textWrapping"/>
      </w:r>
      <w:r>
        <w:rPr>
          <w:rStyle w:val="VerbatimChar"/>
        </w:rPr>
        <w:t xml:space="preserve">  arta-synergy-webdav{a}</w:t>
      </w:r>
      <w:r>
        <w:br w:type="textWrapping"/>
      </w:r>
      <w:r>
        <w:rPr>
          <w:rStyle w:val="VerbatimChar"/>
        </w:rPr>
        <w:t xml:space="preserve">The following packages will be upgraded:</w:t>
      </w:r>
      <w:r>
        <w:br w:type="textWrapping"/>
      </w:r>
      <w:r>
        <w:rPr>
          <w:rStyle w:val="VerbatimChar"/>
        </w:rPr>
        <w:t xml:space="preserve">  arta-synergy-deps-jackrabbit arta-synergy-esb{b} arta-synergy-jboss{b} arta-synergy-synergy{b} arta-synergy-utils</w:t>
      </w:r>
      <w:r>
        <w:br w:type="textWrapping"/>
      </w:r>
      <w:r>
        <w:rPr>
          <w:rStyle w:val="VerbatimChar"/>
        </w:rPr>
        <w:t xml:space="preserve">5 packages upgraded, 1 newly installed, 0 to remove and 154 not upgraded.</w:t>
      </w:r>
      <w:r>
        <w:br w:type="textWrapping"/>
      </w:r>
      <w:r>
        <w:rPr>
          <w:rStyle w:val="VerbatimChar"/>
        </w:rPr>
        <w:t xml:space="preserve">Need to get 847 MB of archives. After unpacking 282 MB will be used.</w:t>
      </w:r>
      <w:r>
        <w:br w:type="textWrapping"/>
      </w:r>
      <w:r>
        <w:rPr>
          <w:rStyle w:val="VerbatimChar"/>
        </w:rPr>
        <w:t xml:space="preserve">The following packages have unmet dependencies:</w:t>
      </w:r>
      <w:r>
        <w:br w:type="textWrapping"/>
      </w:r>
      <w:r>
        <w:rPr>
          <w:rStyle w:val="VerbatimChar"/>
        </w:rPr>
        <w:t xml:space="preserve"> arta-synergy-jboss : Conflicts: arta-synergy-deps-mysqldriver (&lt;= 5.1.42) but 5.1.42 is installed.</w:t>
      </w:r>
      <w:r>
        <w:br w:type="textWrapping"/>
      </w:r>
      <w:r>
        <w:rPr>
          <w:rStyle w:val="VerbatimChar"/>
        </w:rPr>
        <w:t xml:space="preserve"> arta-synergy-synergy : Conflicts: arta-synergy-jbpm but 3.11-r2 is installed.</w:t>
      </w:r>
      <w:r>
        <w:br w:type="textWrapping"/>
      </w:r>
      <w:r>
        <w:rPr>
          <w:rStyle w:val="VerbatimChar"/>
        </w:rPr>
        <w:t xml:space="preserve"> arta-synergy-esb : Conflicts: arta-synergy-indexator (&lt;= 4.1-r1~181119.114741) but 4.0-r1~181030.182506 is installed.</w:t>
      </w:r>
      <w:r>
        <w:br w:type="textWrapping"/>
      </w:r>
      <w:r>
        <w:rPr>
          <w:rStyle w:val="VerbatimChar"/>
        </w:rPr>
        <w:t xml:space="preserve">The following actions will resolve these dependencies:</w:t>
      </w:r>
      <w:r>
        <w:br w:type="textWrapping"/>
      </w:r>
      <w:r>
        <w:br w:type="textWrapping"/>
      </w:r>
      <w:r>
        <w:rPr>
          <w:rStyle w:val="VerbatimChar"/>
        </w:rPr>
        <w:t xml:space="preserve">     Remove the following packages:</w:t>
      </w:r>
      <w:r>
        <w:br w:type="textWrapping"/>
      </w:r>
      <w:r>
        <w:rPr>
          <w:rStyle w:val="VerbatimChar"/>
        </w:rPr>
        <w:t xml:space="preserve">1)     arta-synergy-deps-mysqldriver</w:t>
      </w:r>
      <w:r>
        <w:br w:type="textWrapping"/>
      </w:r>
      <w:r>
        <w:rPr>
          <w:rStyle w:val="VerbatimChar"/>
        </w:rPr>
        <w:t xml:space="preserve">2)     arta-synergy-indexator</w:t>
      </w:r>
      <w:r>
        <w:br w:type="textWrapping"/>
      </w:r>
      <w:r>
        <w:rPr>
          <w:rStyle w:val="VerbatimChar"/>
        </w:rPr>
        <w:t xml:space="preserve">3)     arta-synergy-jbpm</w:t>
      </w:r>
      <w:r>
        <w:br w:type="textWrapping"/>
      </w:r>
      <w:r>
        <w:br w:type="textWrapping"/>
      </w:r>
      <w:r>
        <w:rPr>
          <w:rStyle w:val="VerbatimChar"/>
        </w:rPr>
        <w:t xml:space="preserve">Accept this solution? [Y/n/q/?] y</w:t>
      </w:r>
    </w:p>
    <w:p>
      <w:pPr>
        <w:pStyle w:val="SourceCode"/>
      </w:pPr>
      <w:r>
        <w:rPr>
          <w:rStyle w:val="VerbatimChar"/>
        </w:rPr>
        <w:t xml:space="preserve">Configuration file `/etc/default/arta-synergy-jboss'</w:t>
      </w:r>
      <w:r>
        <w:br w:type="textWrapping"/>
      </w:r>
      <w:r>
        <w:rPr>
          <w:rStyle w:val="VerbatimChar"/>
        </w:rPr>
        <w:t xml:space="preserve"> 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arta-synergy-jboss (Y/I/N/O/D/Z) [default=N] ? y</w:t>
      </w:r>
      <w:r>
        <w:br w:type="textWrapping"/>
      </w:r>
      <w:r>
        <w:rPr>
          <w:rStyle w:val="VerbatimChar"/>
        </w:rPr>
        <w:t xml:space="preserve">Installing new version of config file /etc/default/arta-synergy-jboss ...</w:t>
      </w:r>
      <w:r>
        <w:br w:type="textWrapping"/>
      </w:r>
      <w:r>
        <w:br w:type="textWrapping"/>
      </w:r>
      <w:r>
        <w:rPr>
          <w:rStyle w:val="VerbatimChar"/>
        </w:rPr>
        <w:t xml:space="preserve">Configuration file `/opt/synergy/jboss/bin/standalone.conf'</w:t>
      </w:r>
      <w:r>
        <w:br w:type="textWrapping"/>
      </w:r>
      <w:r>
        <w:rPr>
          <w:rStyle w:val="VerbatimChar"/>
        </w:rPr>
        <w:t xml:space="preserve"> 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standalone.conf (Y/I/N/O/D/Z) [default=N] ? y</w:t>
      </w:r>
      <w:r>
        <w:br w:type="textWrapping"/>
      </w:r>
      <w:r>
        <w:rPr>
          <w:rStyle w:val="VerbatimChar"/>
        </w:rPr>
        <w:t xml:space="preserve">Installing new version of config file /opt/synergy/jboss/bin/standalone.conf ...</w:t>
      </w:r>
      <w:r>
        <w:br w:type="textWrapping"/>
      </w:r>
      <w:r>
        <w:br w:type="textWrapping"/>
      </w:r>
      <w:r>
        <w:rPr>
          <w:rStyle w:val="VerbatimChar"/>
        </w:rPr>
        <w:t xml:space="preserve">Configuration file `/opt/synergy/jboss/standalone/configuration/standalone.xml'</w:t>
      </w:r>
      <w:r>
        <w:br w:type="textWrapping"/>
      </w:r>
      <w:r>
        <w:rPr>
          <w:rStyle w:val="VerbatimChar"/>
        </w:rPr>
        <w:t xml:space="preserve"> ==&gt; File on system created by you or by a script.</w:t>
      </w:r>
      <w:r>
        <w:br w:type="textWrapping"/>
      </w:r>
      <w:r>
        <w:rPr>
          <w:rStyle w:val="VerbatimChar"/>
        </w:rPr>
        <w:t xml:space="preserve"> ==&gt; File also in package provided by package maintainer.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standalone.xml (Y/I/N/O/D/Z) [default=N] ? y</w:t>
      </w:r>
      <w:r>
        <w:br w:type="textWrapping"/>
      </w:r>
      <w:r>
        <w:rPr>
          <w:rStyle w:val="VerbatimChar"/>
        </w:rPr>
        <w:t xml:space="preserve">Installing new version of config file /opt/synergy/jboss/standalone/configuration/standalone.xml ...</w:t>
      </w:r>
      <w:r>
        <w:br w:type="textWrapping"/>
      </w:r>
      <w:r>
        <w:br w:type="textWrapping"/>
      </w:r>
      <w:r>
        <w:rPr>
          <w:rStyle w:val="VerbatimChar"/>
        </w:rPr>
        <w:t xml:space="preserve">Configuration file `/opt/synergy/jboss/standalone/configuration/standalone-full.xml'</w:t>
      </w:r>
      <w:r>
        <w:br w:type="textWrapping"/>
      </w:r>
      <w:r>
        <w:rPr>
          <w:rStyle w:val="VerbatimChar"/>
        </w:rPr>
        <w:t xml:space="preserve">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standalone-full.xml (Y/I/N/O/D/Z) [default=N] ? y</w:t>
      </w:r>
      <w:r>
        <w:br w:type="textWrapping"/>
      </w:r>
      <w:r>
        <w:br w:type="textWrapping"/>
      </w:r>
      <w:r>
        <w:rPr>
          <w:rStyle w:val="VerbatimChar"/>
        </w:rPr>
        <w:t xml:space="preserve">Configuration file `/opt/synergy/jboss/standalone/deployments/Synergy.ear/META-INF/jboss-deployment-structure.xml'</w:t>
      </w:r>
      <w:r>
        <w:br w:type="textWrapping"/>
      </w:r>
      <w:r>
        <w:rPr>
          <w:rStyle w:val="VerbatimChar"/>
        </w:rPr>
        <w:t xml:space="preserve"> 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jboss-deployment-structure.xml (Y/I/N/O/D/Z) [default=N] ? y</w:t>
      </w:r>
    </w:p>
    <w:bookmarkEnd w:id="257"/>
    <w:bookmarkStart w:id="259" w:name="upgrade.xhtml#id2"/>
    <w:p>
      <w:pPr>
        <w:pStyle w:val="Heading2"/>
      </w:pPr>
      <w:r>
        <w:t xml:space="preserve">5.2. После обновления</w:t>
      </w:r>
    </w:p>
    <w:p>
      <w:pPr>
        <w:numPr>
          <w:numId w:val="1091"/>
          <w:ilvl w:val="0"/>
        </w:numPr>
      </w:pPr>
      <w:r>
        <w:t xml:space="preserve">Если используется хранилище Cassandra, проверить конфигурационный файл</w:t>
      </w:r>
      <w:r>
        <w:t xml:space="preserve"> </w:t>
      </w:r>
      <w:r>
        <w:rPr>
          <w:rStyle w:val="VerbatimChar"/>
        </w:rPr>
        <w:t xml:space="preserve">/opt/synergy/jboss/standalone/deployments/Synergy.ear/META-INF/application.xml</w:t>
      </w:r>
      <w:r>
        <w:t xml:space="preserve">, он должен содержать следующий блок: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&lt;module&gt;</w:t>
      </w:r>
      <w:r>
        <w:br w:type="textWrapping"/>
      </w:r>
      <w:r>
        <w:rPr>
          <w:rStyle w:val="VerbatimChar"/>
        </w:rPr>
        <w:t xml:space="preserve">    &lt;ejb&gt;ArtaJCR.war&lt;/ejb&gt;</w:t>
      </w:r>
      <w:r>
        <w:br w:type="textWrapping"/>
      </w:r>
      <w:r>
        <w:rPr>
          <w:rStyle w:val="VerbatimChar"/>
        </w:rPr>
        <w:t xml:space="preserve">&lt;/module&gt;</w:t>
      </w:r>
    </w:p>
    <w:p>
      <w:pPr>
        <w:numPr>
          <w:numId w:val="1000"/>
          <w:ilvl w:val="0"/>
        </w:numPr>
      </w:pPr>
      <w:r>
        <w:t xml:space="preserve">а файл</w:t>
      </w:r>
      <w:r>
        <w:t xml:space="preserve"> </w:t>
      </w:r>
      <w:r>
        <w:rPr>
          <w:rStyle w:val="VerbatimChar"/>
        </w:rPr>
        <w:t xml:space="preserve">/opt/synergy/jboss/standalone/deployments/Synergy.ear/META-INF/jboss-deployment-structure.xml</w:t>
      </w:r>
      <w:r>
        <w:t xml:space="preserve"> </w:t>
      </w:r>
      <w:r>
        <w:t xml:space="preserve">- блок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&lt;sub-deployment name="AiBean.jar"&gt;</w:t>
      </w:r>
      <w:r>
        <w:br w:type="textWrapping"/>
      </w:r>
      <w:r>
        <w:rPr>
          <w:rStyle w:val="VerbatimChar"/>
        </w:rPr>
        <w:t xml:space="preserve">    &lt;dependencies&gt;</w:t>
      </w:r>
      <w:r>
        <w:br w:type="textWrapping"/>
      </w:r>
      <w:r>
        <w:rPr>
          <w:rStyle w:val="VerbatimChar"/>
        </w:rPr>
        <w:t xml:space="preserve">        &lt;module name="deployment.Synergy.ear.ArtaJCR.war"/&gt;</w:t>
      </w:r>
      <w:r>
        <w:br w:type="textWrapping"/>
      </w:r>
      <w:r>
        <w:rPr>
          <w:rStyle w:val="VerbatimChar"/>
        </w:rPr>
        <w:t xml:space="preserve">    &lt;/dependencies&gt;</w:t>
      </w:r>
      <w:r>
        <w:br w:type="textWrapping"/>
      </w:r>
      <w:r>
        <w:rPr>
          <w:rStyle w:val="VerbatimChar"/>
        </w:rPr>
        <w:t xml:space="preserve">&lt;/sub-deployment&gt;</w:t>
      </w:r>
    </w:p>
    <w:p>
      <w:pPr>
        <w:numPr>
          <w:numId w:val="1091"/>
          <w:ilvl w:val="0"/>
        </w:numPr>
      </w:pPr>
      <w:r>
        <w:t xml:space="preserve">Если используется индексатор Elasticsearch, включить его в нужных конфигурационных файлах в папке</w:t>
      </w:r>
      <w:r>
        <w:t xml:space="preserve"> </w:t>
      </w:r>
      <w:r>
        <w:rPr>
          <w:rStyle w:val="VerbatimChar"/>
        </w:rPr>
        <w:t xml:space="preserve">/opt/synergy/jboss/standalone/configuration/arta/esb/</w:t>
      </w:r>
    </w:p>
    <w:p>
      <w:pPr>
        <w:numPr>
          <w:numId w:val="1091"/>
          <w:ilvl w:val="0"/>
        </w:numPr>
      </w:pPr>
      <w:r>
        <w:t xml:space="preserve">Выполнить обновление БД в Административном приложении Synergy</w:t>
      </w:r>
    </w:p>
    <w:p>
      <w:pPr>
        <w:numPr>
          <w:numId w:val="1091"/>
          <w:ilvl w:val="0"/>
        </w:numPr>
      </w:pPr>
      <w:r>
        <w:t xml:space="preserve">Остановить</w:t>
      </w:r>
      <w:r>
        <w:t xml:space="preserve"> </w:t>
      </w:r>
      <w:r>
        <w:rPr>
          <w:rStyle w:val="VerbatimChar"/>
        </w:rPr>
        <w:t xml:space="preserve">jboss</w:t>
      </w:r>
      <w:r>
        <w:t xml:space="preserve"> </w:t>
      </w:r>
      <w:r>
        <w:t xml:space="preserve">и выполнить утилиту для обновления индексов Lucene (см. раздел «Обновление Lucene»):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/opt/synergy/utils/lucene/upgrade-to-lucene-7.sh</w:t>
      </w:r>
    </w:p>
    <w:p>
      <w:pPr>
        <w:numPr>
          <w:numId w:val="1000"/>
          <w:ilvl w:val="0"/>
        </w:numPr>
      </w:pPr>
      <w:r>
        <w:t xml:space="preserve">В случае успешного апгрейда индексов вывод команды будет таким: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Reading paths from /opt/synergy/jboss/standalone/configuration/arta/luceneConfiguration.xml:</w:t>
      </w:r>
      <w:r>
        <w:br w:type="textWrapping"/>
      </w:r>
      <w:r>
        <w:rPr>
          <w:rStyle w:val="VerbatimChar"/>
        </w:rPr>
        <w:t xml:space="preserve">/var/lib/synergy/documentIndex /var/lib/synergy/formIndex /var/lib/synergy/index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/var/lib/synergy/documentIndex to:</w:t>
      </w:r>
      <w:r>
        <w:br w:type="textWrapping"/>
      </w:r>
      <w:r>
        <w:rPr>
          <w:rStyle w:val="VerbatimChar"/>
        </w:rPr>
        <w:t xml:space="preserve">Lucene version 4.10.4... done.</w:t>
      </w:r>
      <w:r>
        <w:br w:type="textWrapping"/>
      </w:r>
      <w:r>
        <w:rPr>
          <w:rStyle w:val="VerbatimChar"/>
        </w:rPr>
        <w:t xml:space="preserve">Lucene version 5.5.0... done.</w:t>
      </w:r>
      <w:r>
        <w:br w:type="textWrapping"/>
      </w:r>
      <w:r>
        <w:rPr>
          <w:rStyle w:val="VerbatimChar"/>
        </w:rPr>
        <w:t xml:space="preserve">Lucene version 6.3.0... done.</w:t>
      </w:r>
      <w:r>
        <w:br w:type="textWrapping"/>
      </w:r>
      <w:r>
        <w:rPr>
          <w:rStyle w:val="VerbatimChar"/>
        </w:rPr>
        <w:t xml:space="preserve">Lucene version 7.3.1... done.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/var/lib/synergy/formIndex to:</w:t>
      </w:r>
      <w:r>
        <w:br w:type="textWrapping"/>
      </w:r>
      <w:r>
        <w:rPr>
          <w:rStyle w:val="VerbatimChar"/>
        </w:rPr>
        <w:t xml:space="preserve">Lucene version 4.10.4... done.</w:t>
      </w:r>
      <w:r>
        <w:br w:type="textWrapping"/>
      </w:r>
      <w:r>
        <w:rPr>
          <w:rStyle w:val="VerbatimChar"/>
        </w:rPr>
        <w:t xml:space="preserve">Lucene version 5.5.0... done.</w:t>
      </w:r>
      <w:r>
        <w:br w:type="textWrapping"/>
      </w:r>
      <w:r>
        <w:rPr>
          <w:rStyle w:val="VerbatimChar"/>
        </w:rPr>
        <w:t xml:space="preserve">Lucene version 6.3.0... done.</w:t>
      </w:r>
      <w:r>
        <w:br w:type="textWrapping"/>
      </w:r>
      <w:r>
        <w:rPr>
          <w:rStyle w:val="VerbatimChar"/>
        </w:rPr>
        <w:t xml:space="preserve">Lucene version 7.3.1... done.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/var/lib/synergy/index to:</w:t>
      </w:r>
      <w:r>
        <w:br w:type="textWrapping"/>
      </w:r>
      <w:r>
        <w:rPr>
          <w:rStyle w:val="VerbatimChar"/>
        </w:rPr>
        <w:t xml:space="preserve">Lucene version 4.10.4...done.</w:t>
      </w:r>
      <w:r>
        <w:br w:type="textWrapping"/>
      </w:r>
      <w:r>
        <w:rPr>
          <w:rStyle w:val="VerbatimChar"/>
        </w:rPr>
        <w:t xml:space="preserve">Lucene version 5.5.0... done.</w:t>
      </w:r>
      <w:r>
        <w:br w:type="textWrapping"/>
      </w:r>
      <w:r>
        <w:rPr>
          <w:rStyle w:val="VerbatimChar"/>
        </w:rPr>
        <w:t xml:space="preserve">Lucene version 6.3.0... done.</w:t>
      </w:r>
      <w:r>
        <w:br w:type="textWrapping"/>
      </w:r>
      <w:r>
        <w:rPr>
          <w:rStyle w:val="VerbatimChar"/>
        </w:rPr>
        <w:t xml:space="preserve">Lucene version 7.3.1... done.</w:t>
      </w:r>
      <w:r>
        <w:br w:type="textWrapping"/>
      </w:r>
      <w:r>
        <w:rPr>
          <w:rStyle w:val="VerbatimChar"/>
        </w:rPr>
        <w:t xml:space="preserve">========================</w:t>
      </w:r>
      <w:r>
        <w:br w:type="textWrapping"/>
      </w:r>
      <w:r>
        <w:rPr>
          <w:rStyle w:val="VerbatimChar"/>
        </w:rPr>
        <w:t xml:space="preserve">Upgrade to Lucene 7 went OK!</w:t>
      </w:r>
    </w:p>
    <w:p>
      <w:pPr>
        <w:pStyle w:val="BlockText"/>
        <w:numPr>
          <w:numId w:val="1000"/>
          <w:ilvl w:val="0"/>
        </w:numPr>
      </w:pPr>
      <w:r>
        <w:t xml:space="preserve">При возникновении ошибок при обновлении индексов нужно их удалить и выполнить переиндексацию. Подробное описание</w:t>
      </w:r>
      <w:r>
        <w:t xml:space="preserve"> </w:t>
      </w:r>
      <w:r>
        <w:t xml:space="preserve">приведено в разделе «Обновление Lucene».</w:t>
      </w:r>
    </w:p>
    <w:p>
      <w:pPr>
        <w:numPr>
          <w:numId w:val="1091"/>
          <w:ilvl w:val="0"/>
        </w:numPr>
      </w:pPr>
      <w:r>
        <w:t xml:space="preserve">В конфигурационном файле nginx прописать строки вида: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location /asforms {</w:t>
      </w:r>
      <w:r>
        <w:br w:type="textWrapping"/>
      </w:r>
      <w:r>
        <w:rPr>
          <w:rStyle w:val="VerbatimChar"/>
        </w:rPr>
        <w:t xml:space="preserve">    proxy_pass              http://127.0.0.1:8080/asforms;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91"/>
          <w:ilvl w:val="0"/>
        </w:numPr>
      </w:pPr>
      <w:r>
        <w:t xml:space="preserve">После повторного старта</w:t>
      </w:r>
      <w:r>
        <w:t xml:space="preserve"> </w:t>
      </w:r>
      <w:r>
        <w:rPr>
          <w:rStyle w:val="VerbatimChar"/>
        </w:rPr>
        <w:t xml:space="preserve">arta-synergy-jboss</w:t>
      </w:r>
      <w:r>
        <w:t xml:space="preserve"> </w:t>
      </w:r>
      <w:r>
        <w:t xml:space="preserve">в Административном приложении переиндексировать формы, файлы и документы.</w:t>
      </w:r>
    </w:p>
    <w:p>
      <w:pPr>
        <w:numPr>
          <w:numId w:val="1091"/>
          <w:ilvl w:val="0"/>
        </w:numPr>
      </w:pPr>
      <w:r>
        <w:t xml:space="preserve">Проверить, что все дочерние</w:t>
      </w:r>
      <w:r>
        <w:t xml:space="preserve"> </w:t>
      </w:r>
      <w:r>
        <w:rPr>
          <w:rStyle w:val="VerbatimChar"/>
        </w:rPr>
        <w:t xml:space="preserve">war</w:t>
      </w:r>
      <w:r>
        <w:t xml:space="preserve"> </w:t>
      </w:r>
      <w:r>
        <w:t xml:space="preserve">успешно задеплоены.</w:t>
      </w:r>
      <w:r>
        <w:t xml:space="preserve"> </w:t>
      </w:r>
      <w:r>
        <w:t xml:space="preserve">Из-за перехода к использованию Wildfly возможно, что некоторые приложения не будут запущены: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22:46:14,491 ERROR [org.jboss.msc.service.fail] (ServerService Thread Pool -- 105) MSC000001: Failed to start service jboss.deployment.unit."itsm.war".component.java:global/ItsmStartupBean.START: org.jboss.msc.service.StartException in service jboss.deployment.unit."itsm.war".component.java:global/ItsmStartupBean.START: java.lang.IllegalStateException: WFLYEE0042: Failed to construct component instance</w:t>
      </w:r>
      <w:r>
        <w:br w:type="textWrapping"/>
      </w:r>
      <w:r>
        <w:rPr>
          <w:rStyle w:val="VerbatimChar"/>
        </w:rPr>
        <w:t xml:space="preserve">        at org.jboss.as.ee.component.ComponentStartService$1.run(ComponentStartService.java:57) [wildfly-ee-14.0.0.Final.jar:14.0.0.Final]</w:t>
      </w:r>
      <w:r>
        <w:br w:type="textWrapping"/>
      </w:r>
      <w:r>
        <w:rPr>
          <w:rStyle w:val="VerbatimChar"/>
        </w:rPr>
        <w:t xml:space="preserve">        at java.util.concurrent.Executors$RunnableAdapter.call(Executors.java:511) [rt.jar:1.8.0_131]</w:t>
      </w:r>
      <w:r>
        <w:br w:type="textWrapping"/>
      </w:r>
      <w:r>
        <w:rPr>
          <w:rStyle w:val="VerbatimChar"/>
        </w:rPr>
        <w:t xml:space="preserve">        at java.util.concurrent.FutureTask.run(FutureTask.java:266) [rt.jar:1.8.0_131]</w:t>
      </w:r>
      <w:r>
        <w:br w:type="textWrapping"/>
      </w:r>
      <w:r>
        <w:rPr>
          <w:rStyle w:val="VerbatimChar"/>
        </w:rPr>
        <w:t xml:space="preserve">        at org.jboss.threads.ContextClassLoaderSavingRunnable.run(ContextClassLoaderSavingRunnable.java:35)</w:t>
      </w:r>
      <w:r>
        <w:br w:type="textWrapping"/>
      </w:r>
      <w:r>
        <w:rPr>
          <w:rStyle w:val="VerbatimChar"/>
        </w:rPr>
        <w:t xml:space="preserve">        at org.jboss.threads.EnhancedQueueExecutor.safeRun(EnhancedQueueExecutor.java:1985)</w:t>
      </w:r>
      <w:r>
        <w:br w:type="textWrapping"/>
      </w:r>
      <w:r>
        <w:rPr>
          <w:rStyle w:val="VerbatimChar"/>
        </w:rPr>
        <w:t xml:space="preserve">        at org.jboss.threads.EnhancedQueueExecutor$ThreadBody.doRunTask(EnhancedQueueExecutor.java:1487)</w:t>
      </w:r>
      <w:r>
        <w:br w:type="textWrapping"/>
      </w:r>
      <w:r>
        <w:rPr>
          <w:rStyle w:val="VerbatimChar"/>
        </w:rPr>
        <w:t xml:space="preserve">        at org.jboss.threads.EnhancedQueueExecutor$ThreadBody.run(EnhancedQueueExecutor.java:1378)</w:t>
      </w:r>
      <w:r>
        <w:br w:type="textWrapping"/>
      </w:r>
      <w:r>
        <w:rPr>
          <w:rStyle w:val="VerbatimChar"/>
        </w:rPr>
        <w:t xml:space="preserve">        at java.lang.Thread.run(Thread.java:748) [rt.jar:1.8.0_131]</w:t>
      </w:r>
      <w:r>
        <w:br w:type="textWrapping"/>
      </w:r>
      <w:r>
        <w:rPr>
          <w:rStyle w:val="VerbatimChar"/>
        </w:rPr>
        <w:t xml:space="preserve">        at org.jboss.threads.JBossThread.run(JBossThread.java:485)</w:t>
      </w:r>
      <w:r>
        <w:br w:type="textWrapping"/>
      </w:r>
      <w:r>
        <w:rPr>
          <w:rStyle w:val="VerbatimChar"/>
        </w:rPr>
        <w:t xml:space="preserve">Caused by: java.lang.IllegalStateException: WFLYEE0042: Failed to construct component instance</w:t>
      </w:r>
      <w:r>
        <w:br w:type="textWrapping"/>
      </w:r>
      <w:r>
        <w:rPr>
          <w:rStyle w:val="VerbatimChar"/>
        </w:rPr>
        <w:t xml:space="preserve">        at org.jboss.as.ee.component.BasicComponent.constructComponentInstance(BasicComponent.java:163) [wildfly-ee-14.0.0.Final.jar:14.0.0.Final]</w:t>
      </w:r>
      <w:r>
        <w:br w:type="textWrapping"/>
      </w:r>
      <w:r>
        <w:rPr>
          <w:rStyle w:val="VerbatimChar"/>
        </w:rPr>
        <w:t xml:space="preserve">        at org.jboss.as.ee.component.BasicComponent.constructComponentInstance(BasicComponent.java:134) [wildfly-ee-14.0.0.Final.jar:14.0.0.Final]</w:t>
      </w:r>
      <w:r>
        <w:br w:type="textWrapping"/>
      </w:r>
      <w:r>
        <w:rPr>
          <w:rStyle w:val="VerbatimChar"/>
        </w:rPr>
        <w:t xml:space="preserve">        at org.jboss.as.ee.component.BasicComponent.createInstance(BasicComponent.java:88) [wildfly-ee-14.0.0.Final.jar:14.0.0.Final]</w:t>
      </w:r>
      <w:r>
        <w:br w:type="textWrapping"/>
      </w:r>
      <w:r>
        <w:rPr>
          <w:rStyle w:val="VerbatimChar"/>
        </w:rPr>
        <w:t xml:space="preserve">        at org.jboss.as.ejb3.component.singleton.SingletonComponent.getComponentInstance(SingletonComponent.java:127)</w:t>
      </w:r>
      <w:r>
        <w:br w:type="textWrapping"/>
      </w:r>
      <w:r>
        <w:rPr>
          <w:rStyle w:val="VerbatimChar"/>
        </w:rPr>
        <w:t xml:space="preserve">        at org.jboss.as.ejb3.component.singleton.SingletonComponent.start(SingletonComponent.java:141)</w:t>
      </w:r>
      <w:r>
        <w:br w:type="textWrapping"/>
      </w:r>
      <w:r>
        <w:rPr>
          <w:rStyle w:val="VerbatimChar"/>
        </w:rPr>
        <w:t xml:space="preserve">        at org.jboss.as.ee.component.ComponentStartService$1.run(ComponentStartService.java:54) [wildfly-ee-14.0.0.Final.jar:14.0.0.Final]</w:t>
      </w:r>
      <w:r>
        <w:br w:type="textWrapping"/>
      </w:r>
      <w:r>
        <w:rPr>
          <w:rStyle w:val="VerbatimChar"/>
        </w:rPr>
        <w:t xml:space="preserve">        ... 8 more</w:t>
      </w:r>
      <w:r>
        <w:br w:type="textWrapping"/>
      </w:r>
      <w:r>
        <w:rPr>
          <w:rStyle w:val="VerbatimChar"/>
        </w:rPr>
        <w:t xml:space="preserve">Caused by: javax.ejb.EJBException: WFLYEJB0442: Unexpected Error</w:t>
      </w:r>
      <w:r>
        <w:br w:type="textWrapping"/>
      </w:r>
      <w:r>
        <w:rPr>
          <w:rStyle w:val="VerbatimChar"/>
        </w:rPr>
        <w:t xml:space="preserve">        at org.jboss.as.ejb3.tx.CMTTxInterceptor.invokeInOurTx(CMTTxInterceptor.java:250)</w:t>
      </w:r>
      <w:r>
        <w:br w:type="textWrapping"/>
      </w:r>
      <w:r>
        <w:rPr>
          <w:rStyle w:val="VerbatimChar"/>
        </w:rPr>
        <w:t xml:space="preserve">        at org.jboss.as.ejb3.tx.CMTTxInterceptor.requiresNew(CMTTxInterceptor.java:388)</w:t>
      </w:r>
      <w:r>
        <w:br w:type="textWrapping"/>
      </w:r>
      <w:r>
        <w:rPr>
          <w:rStyle w:val="VerbatimChar"/>
        </w:rPr>
        <w:t xml:space="preserve">        at org.jboss.as.ejb3.tx.LifecycleCMTTxInterceptor.processInvocation(LifecycleCMTTxInterceptor.java:68)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org.jboss.as.ejb3.component.interceptors.CurrentInvocationContextInterceptor.processInvocation(CurrentInvocationContextInterceptor.java:41)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org.jboss.as.ee.concurrent.ConcurrentContextInterceptor.processInvocation(ConcurrentContextInterceptor.java:45) [wildfly-ee-14.0.0.Final.jar:14.0.0.Final]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org.jboss.invocation.ContextClassLoaderInterceptor.processInvocation(ContextClassLoaderInterceptor.java:60) [jboss-invocation-1.5.1.Final.jar:1.5.1.Final]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org.jboss.as.ejb3.component.singleton.StartupCountDownInterceptor.processInvocation(StartupCountDownInterceptor.java:25)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org.jboss.invocation.ChainedInterceptor.processInvocation(ChainedInterceptor.java:53) [jboss-invocation-1.5.1.Final.jar:1.5.1.Final]</w:t>
      </w:r>
      <w:r>
        <w:br w:type="textWrapping"/>
      </w:r>
      <w:r>
        <w:rPr>
          <w:rStyle w:val="VerbatimChar"/>
        </w:rPr>
        <w:t xml:space="preserve">        at org.jboss.as.ee.component.BasicComponent.constructComponentInstance(BasicComponent.java:161) [wildfly-ee-14.0.0.Final.jar:14.0.0.Final]</w:t>
      </w:r>
      <w:r>
        <w:br w:type="textWrapping"/>
      </w:r>
      <w:r>
        <w:rPr>
          <w:rStyle w:val="VerbatimChar"/>
        </w:rPr>
        <w:t xml:space="preserve">        ... 13 more</w:t>
      </w:r>
      <w:r>
        <w:br w:type="textWrapping"/>
      </w:r>
      <w:r>
        <w:rPr>
          <w:rStyle w:val="VerbatimChar"/>
        </w:rPr>
        <w:t xml:space="preserve">Caused by: java.lang.NoSuchMethodError: kz.arta.itsm.rest.SettingsApi.readJsonResult(Ljava/net/HttpURLConnection;)Lorg/codehaus/jackson/JsonNode;</w:t>
      </w:r>
      <w:r>
        <w:br w:type="textWrapping"/>
      </w:r>
      <w:r>
        <w:rPr>
          <w:rStyle w:val="VerbatimChar"/>
        </w:rPr>
        <w:t xml:space="preserve">        at kz.arta.itsm.rest.SettingsApi.loadCalendar(SettingsApi.java:49)</w:t>
      </w:r>
      <w:r>
        <w:br w:type="textWrapping"/>
      </w:r>
      <w:r>
        <w:rPr>
          <w:rStyle w:val="VerbatimChar"/>
        </w:rPr>
        <w:t xml:space="preserve">        at kz.arta.itsm.bean.StartupBean.loadSettings(StartupBean.java:51)</w:t>
      </w:r>
      <w:r>
        <w:br w:type="textWrapping"/>
      </w:r>
      <w:r>
        <w:rPr>
          <w:rStyle w:val="VerbatimChar"/>
        </w:rPr>
        <w:t xml:space="preserve">        at sun.reflect.NativeMethodAccessorImpl.invoke0(Native Method) [rt.jar:1.8.0_131]</w:t>
      </w:r>
      <w:r>
        <w:br w:type="textWrapping"/>
      </w:r>
      <w:r>
        <w:rPr>
          <w:rStyle w:val="VerbatimChar"/>
        </w:rPr>
        <w:t xml:space="preserve">        at sun.reflect.NativeMethodAccessorImpl.invoke(NativeMethodAccessorImpl.java:62) [rt.jar:1.8.0_131]</w:t>
      </w:r>
      <w:r>
        <w:br w:type="textWrapping"/>
      </w:r>
      <w:r>
        <w:rPr>
          <w:rStyle w:val="VerbatimChar"/>
        </w:rPr>
        <w:t xml:space="preserve">        at sun.reflect.DelegatingMethodAccessorImpl.invoke(DelegatingMethodAccessorImpl.java:43) [rt.jar:1.8.0_131]</w:t>
      </w:r>
      <w:r>
        <w:br w:type="textWrapping"/>
      </w:r>
      <w:r>
        <w:rPr>
          <w:rStyle w:val="VerbatimChar"/>
        </w:rPr>
        <w:t xml:space="preserve">        at java.lang.reflect.Method.invoke(Method.java:498) [rt.jar:1.8.0_131]</w:t>
      </w:r>
      <w:r>
        <w:br w:type="textWrapping"/>
      </w:r>
      <w:r>
        <w:rPr>
          <w:rStyle w:val="VerbatimChar"/>
        </w:rPr>
        <w:t xml:space="preserve">        at org.jboss.as.ee.component.ManagedReferenceLifecycleMethodInterceptor.processInvocation(ManagedReferenceLifecycleMethodInterceptor.java:96) [wildfly-ee-14.0.0.Final.jar:14.0.0.Final]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org.jboss.as.ee.component.AroundConstructInterceptorFactory$1.processInvocation(AroundConstructInterceptorFactory.java:28) [wildfly-ee-14.0.0.Final.jar:14.0.0.Final]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org.jboss.as.ee.component.NamespaceContextInterceptor.processInvocation(NamespaceContextInterceptor.java:50) [wildfly-ee-14.0.0.Final.jar:14.0.0.Final]</w:t>
      </w:r>
      <w:r>
        <w:br w:type="textWrapping"/>
      </w:r>
      <w:r>
        <w:rPr>
          <w:rStyle w:val="VerbatimChar"/>
        </w:rPr>
        <w:t xml:space="preserve">        at org.jboss.invocation.InterceptorContext.proceed(InterceptorContext.java:422) [jboss-invocation-1.5.1.Final.jar:1.5.1.Final]</w:t>
      </w:r>
      <w:r>
        <w:br w:type="textWrapping"/>
      </w:r>
      <w:r>
        <w:rPr>
          <w:rStyle w:val="VerbatimChar"/>
        </w:rPr>
        <w:t xml:space="preserve">        at org.jboss.as.ejb3.tx.CMTTxInterceptor.invokeInOurTx(CMTTxInterceptor.java:237)</w:t>
      </w:r>
      <w:r>
        <w:br w:type="textWrapping"/>
      </w:r>
      <w:r>
        <w:rPr>
          <w:rStyle w:val="VerbatimChar"/>
        </w:rPr>
        <w:t xml:space="preserve">        ... 26 more</w:t>
      </w:r>
    </w:p>
    <w:p>
      <w:pPr>
        <w:pStyle w:val="BlockText"/>
        <w:numPr>
          <w:numId w:val="1000"/>
          <w:ilvl w:val="0"/>
        </w:numPr>
      </w:pPr>
      <w:r>
        <w:t xml:space="preserve">В случае возникновения такой проблемы обратитесь к рекомендациям по восстановлению работы внешних модулей</w:t>
      </w:r>
      <w:r>
        <w:t xml:space="preserve"> </w:t>
      </w:r>
      <w:r>
        <w:t xml:space="preserve">(см. раздел «Переход к использованию WildFly»).</w:t>
      </w:r>
    </w:p>
    <w:p>
      <w:pPr>
        <w:pStyle w:val="Compact"/>
      </w:pPr>
      <w:r>
        <w:drawing>
          <wp:inline>
            <wp:extent cx="5334000" cy="7215344"/>
            <wp:effectExtent b="0" l="0" r="0" t="0"/>
            <wp:docPr descr="../_images/DvZnmQIWwAEv2W3.jpg" title="" id="1" name="Picture"/>
            <a:graphic>
              <a:graphicData uri="http://schemas.openxmlformats.org/drawingml/2006/picture">
                <pic:pic>
                  <pic:nvPicPr>
                    <pic:cNvPr descr="_images/DvZnmQIWwAEv2W3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15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9"/>
    <w:bookmarkEnd w:id="260"/>
    <w:p>
      <w:pPr>
        <w:pStyle w:val="BodyText"/>
      </w:pPr>
      <w:bookmarkStart w:id="261" w:name="genindex.xhtml"/>
      <w:bookmarkEnd w:id="261"/>
    </w:p>
    <w:p>
      <w:pPr>
        <w:pStyle w:val="Heading1"/>
      </w:pPr>
      <w:bookmarkStart w:id="262" w:name="genindex.xhtml#index"/>
      <w:r>
        <w:t xml:space="preserve">Алфавитный указатель</w:t>
      </w:r>
      <w:bookmarkEnd w:id="262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7">
    <w:abstractNumId w:val="991"/>
  </w:num>
  <w:num w:numId="1058">
    <w:abstractNumId w:val="991"/>
  </w:num>
  <w:num w:numId="105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1"/>
  </w:num>
  <w:num w:numId="106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6">
    <w:abstractNumId w:val="991"/>
  </w:num>
  <w:num w:numId="108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8">
    <w:abstractNumId w:val="991"/>
  </w:num>
  <w:num w:numId="108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0">
    <w:abstractNumId w:val="991"/>
  </w:num>
  <w:num w:numId="109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8" Target="media/rId258.jpg" /><Relationship Type="http://schemas.openxmlformats.org/officeDocument/2006/relationships/image" Id="rId206" Target="media/rId206.png" /><Relationship Type="http://schemas.openxmlformats.org/officeDocument/2006/relationships/image" Id="rId207" Target="media/rId207.png" /><Relationship Type="http://schemas.openxmlformats.org/officeDocument/2006/relationships/image" Id="rId208" Target="media/rId208.png" /><Relationship Type="http://schemas.openxmlformats.org/officeDocument/2006/relationships/image" Id="rId209" Target="media/rId209.png" /><Relationship Type="http://schemas.openxmlformats.org/officeDocument/2006/relationships/image" Id="rId118" Target="media/rId118.png" /><Relationship Type="http://schemas.openxmlformats.org/officeDocument/2006/relationships/image" Id="rId85" Target="media/rId85.png" /><Relationship Type="http://schemas.openxmlformats.org/officeDocument/2006/relationships/image" Id="rId108" Target="media/rId108.png" /><Relationship Type="http://schemas.openxmlformats.org/officeDocument/2006/relationships/image" Id="rId215" Target="media/rId215.png" /><Relationship Type="http://schemas.openxmlformats.org/officeDocument/2006/relationships/image" Id="rId220" Target="media/rId220.png" /><Relationship Type="http://schemas.openxmlformats.org/officeDocument/2006/relationships/image" Id="rId221" Target="media/rId221.png" /><Relationship Type="http://schemas.openxmlformats.org/officeDocument/2006/relationships/image" Id="rId222" Target="media/rId222.png" /><Relationship Type="http://schemas.openxmlformats.org/officeDocument/2006/relationships/image" Id="rId223" Target="media/rId223.png" /><Relationship Type="http://schemas.openxmlformats.org/officeDocument/2006/relationships/image" Id="rId224" Target="media/rId224.png" /><Relationship Type="http://schemas.openxmlformats.org/officeDocument/2006/relationships/image" Id="rId228" Target="media/rId228.png" /><Relationship Type="http://schemas.openxmlformats.org/officeDocument/2006/relationships/image" Id="rId229" Target="media/rId229.png" /><Relationship Type="http://schemas.openxmlformats.org/officeDocument/2006/relationships/image" Id="rId175" Target="media/rId175.png" /><Relationship Type="http://schemas.openxmlformats.org/officeDocument/2006/relationships/image" Id="rId176" Target="media/rId176.png" /><Relationship Type="http://schemas.openxmlformats.org/officeDocument/2006/relationships/image" Id="rId109" Target="media/rId109.png" /><Relationship Type="http://schemas.openxmlformats.org/officeDocument/2006/relationships/image" Id="rId177" Target="media/rId177.png" /><Relationship Type="http://schemas.openxmlformats.org/officeDocument/2006/relationships/image" Id="rId178" Target="media/rId178.png" /><Relationship Type="http://schemas.openxmlformats.org/officeDocument/2006/relationships/image" Id="rId179" Target="media/rId179.png" /><Relationship Type="http://schemas.openxmlformats.org/officeDocument/2006/relationships/image" Id="rId180" Target="media/rId180.png" /><Relationship Type="http://schemas.openxmlformats.org/officeDocument/2006/relationships/image" Id="rId181" Target="media/rId181.png" /><Relationship Type="http://schemas.openxmlformats.org/officeDocument/2006/relationships/image" Id="rId182" Target="media/rId182.png" /><Relationship Type="http://schemas.openxmlformats.org/officeDocument/2006/relationships/image" Id="rId183" Target="media/rId183.png" /><Relationship Type="http://schemas.openxmlformats.org/officeDocument/2006/relationships/image" Id="rId187" Target="media/rId187.png" /><Relationship Type="http://schemas.openxmlformats.org/officeDocument/2006/relationships/image" Id="rId192" Target="media/rId192.png" /><Relationship Type="http://schemas.openxmlformats.org/officeDocument/2006/relationships/image" Id="rId193" Target="media/rId193.png" /><Relationship Type="http://schemas.openxmlformats.org/officeDocument/2006/relationships/image" Id="rId110" Target="media/rId110.png" /><Relationship Type="http://schemas.openxmlformats.org/officeDocument/2006/relationships/image" Id="rId194" Target="media/rId194.png" /><Relationship Type="http://schemas.openxmlformats.org/officeDocument/2006/relationships/image" Id="rId195" Target="media/rId195.png" /><Relationship Type="http://schemas.openxmlformats.org/officeDocument/2006/relationships/image" Id="rId196" Target="media/rId196.png" /><Relationship Type="http://schemas.openxmlformats.org/officeDocument/2006/relationships/image" Id="rId197" Target="media/rId197.png" /><Relationship Type="http://schemas.openxmlformats.org/officeDocument/2006/relationships/image" Id="rId198" Target="media/rId198.png" /><Relationship Type="http://schemas.openxmlformats.org/officeDocument/2006/relationships/image" Id="rId199" Target="media/rId199.png" /><Relationship Type="http://schemas.openxmlformats.org/officeDocument/2006/relationships/image" Id="rId202" Target="media/rId202.png" /><Relationship Type="http://schemas.openxmlformats.org/officeDocument/2006/relationships/image" Id="rId203" Target="media/rId203.png" /><Relationship Type="http://schemas.openxmlformats.org/officeDocument/2006/relationships/image" Id="rId204" Target="media/rId204.png" /><Relationship Type="http://schemas.openxmlformats.org/officeDocument/2006/relationships/image" Id="rId240" Target="media/rId240.png" /><Relationship Type="http://schemas.openxmlformats.org/officeDocument/2006/relationships/image" Id="rId111" Target="media/rId111.png" /><Relationship Type="http://schemas.openxmlformats.org/officeDocument/2006/relationships/image" Id="rId241" Target="media/rId241.png" /><Relationship Type="http://schemas.openxmlformats.org/officeDocument/2006/relationships/image" Id="rId244" Target="media/rId244.png" /><Relationship Type="http://schemas.openxmlformats.org/officeDocument/2006/relationships/image" Id="rId247" Target="media/rId247.png" /><Relationship Type="http://schemas.openxmlformats.org/officeDocument/2006/relationships/image" Id="rId248" Target="media/rId248.png" /><Relationship Type="http://schemas.openxmlformats.org/officeDocument/2006/relationships/image" Id="rId249" Target="media/rId249.png" /><Relationship Type="http://schemas.openxmlformats.org/officeDocument/2006/relationships/image" Id="rId250" Target="media/rId250.png" /><Relationship Type="http://schemas.openxmlformats.org/officeDocument/2006/relationships/image" Id="rId251" Target="media/rId251.png" /><Relationship Type="http://schemas.openxmlformats.org/officeDocument/2006/relationships/image" Id="rId252" Target="media/rId252.png" /><Relationship Type="http://schemas.openxmlformats.org/officeDocument/2006/relationships/image" Id="rId253" Target="media/rId253.png" /><Relationship Type="http://schemas.openxmlformats.org/officeDocument/2006/relationships/image" Id="rId235" Target="media/rId235.png" /><Relationship Type="http://schemas.openxmlformats.org/officeDocument/2006/relationships/image" Id="rId112" Target="media/rId112.png" /><Relationship Type="http://schemas.openxmlformats.org/officeDocument/2006/relationships/image" Id="rId236" Target="media/rId236.png" /><Relationship Type="http://schemas.openxmlformats.org/officeDocument/2006/relationships/image" Id="rId237" Target="media/rId237.png" /><Relationship Type="http://schemas.openxmlformats.org/officeDocument/2006/relationships/image" Id="rId127" Target="media/rId127.png" /><Relationship Type="http://schemas.openxmlformats.org/officeDocument/2006/relationships/image" Id="rId132" Target="media/rId132.png" /><Relationship Type="http://schemas.openxmlformats.org/officeDocument/2006/relationships/image" Id="rId133" Target="media/rId133.png" /><Relationship Type="http://schemas.openxmlformats.org/officeDocument/2006/relationships/image" Id="rId136" Target="media/rId136.png" /><Relationship Type="http://schemas.openxmlformats.org/officeDocument/2006/relationships/image" Id="rId138" Target="media/rId138.png" /><Relationship Type="http://schemas.openxmlformats.org/officeDocument/2006/relationships/image" Id="rId113" Target="media/rId113.png" /><Relationship Type="http://schemas.openxmlformats.org/officeDocument/2006/relationships/image" Id="rId141" Target="media/rId141.png" /><Relationship Type="http://schemas.openxmlformats.org/officeDocument/2006/relationships/image" Id="rId143" Target="media/rId143.png" /><Relationship Type="http://schemas.openxmlformats.org/officeDocument/2006/relationships/image" Id="rId146" Target="media/rId146.png" /><Relationship Type="http://schemas.openxmlformats.org/officeDocument/2006/relationships/image" Id="rId148" Target="media/rId148.png" /><Relationship Type="http://schemas.openxmlformats.org/officeDocument/2006/relationships/image" Id="rId150" Target="media/rId150.png" /><Relationship Type="http://schemas.openxmlformats.org/officeDocument/2006/relationships/image" Id="rId152" Target="media/rId152.png" /><Relationship Type="http://schemas.openxmlformats.org/officeDocument/2006/relationships/image" Id="rId153" Target="media/rId153.png" /><Relationship Type="http://schemas.openxmlformats.org/officeDocument/2006/relationships/image" Id="rId155" Target="media/rId155.png" /><Relationship Type="http://schemas.openxmlformats.org/officeDocument/2006/relationships/image" Id="rId157" Target="media/rId157.png" /><Relationship Type="http://schemas.openxmlformats.org/officeDocument/2006/relationships/image" Id="rId158" Target="media/rId158.png" /><Relationship Type="http://schemas.openxmlformats.org/officeDocument/2006/relationships/image" Id="rId114" Target="media/rId114.png" /><Relationship Type="http://schemas.openxmlformats.org/officeDocument/2006/relationships/image" Id="rId160" Target="media/rId160.png" /><Relationship Type="http://schemas.openxmlformats.org/officeDocument/2006/relationships/image" Id="rId162" Target="media/rId162.png" /><Relationship Type="http://schemas.openxmlformats.org/officeDocument/2006/relationships/image" Id="rId163" Target="media/rId163.png" /><Relationship Type="http://schemas.openxmlformats.org/officeDocument/2006/relationships/image" Id="rId165" Target="media/rId165.png" /><Relationship Type="http://schemas.openxmlformats.org/officeDocument/2006/relationships/image" Id="rId184" Target="media/rId184.png" /><Relationship Type="http://schemas.openxmlformats.org/officeDocument/2006/relationships/image" Id="rId128" Target="media/rId128.png" /><Relationship Type="http://schemas.openxmlformats.org/officeDocument/2006/relationships/image" Id="rId129" Target="media/rId129.png" /><Relationship Type="http://schemas.openxmlformats.org/officeDocument/2006/relationships/image" Id="rId130" Target="media/rId130.png" /><Relationship Type="http://schemas.openxmlformats.org/officeDocument/2006/relationships/image" Id="rId126" Target="media/rId126.png" /><Relationship Type="http://schemas.openxmlformats.org/officeDocument/2006/relationships/image" Id="rId214" Target="media/rId214.png" /><Relationship Type="http://schemas.openxmlformats.org/officeDocument/2006/relationships/image" Id="rId171" Target="media/rId171.png" /><Relationship Type="http://schemas.openxmlformats.org/officeDocument/2006/relationships/image" Id="rId172" Target="media/rId172.png" /><Relationship Type="http://schemas.openxmlformats.org/officeDocument/2006/relationships/hyperlink" Id="rId144" Target="../_static/app-exchange2019-06-19_16-06-03.7z" TargetMode="External" /><Relationship Type="http://schemas.openxmlformats.org/officeDocument/2006/relationships/hyperlink" Id="rId145" Target="../_static/app-exchange2019-06-19_16-25-56.7z" TargetMode="External" /><Relationship Type="http://schemas.openxmlformats.org/officeDocument/2006/relationships/hyperlink" Id="rId101" Target="http://rtd.lan.arta.kz/docs/guide/ru/minsky/reports.html" TargetMode="External" /><Relationship Type="http://schemas.openxmlformats.org/officeDocument/2006/relationships/hyperlink" Id="rId124" Target="http://tdd.lan.arta.kz/docs/synergy/minsky/sdk-doc/swagger/#!/dictionary/post_api_dictionary_records_save" TargetMode="External" /><Relationship Type="http://schemas.openxmlformats.org/officeDocument/2006/relationships/hyperlink" Id="rId119" Target="http://tdd.lan.arta.kz/docs/synergy/minsky/sdk-doc/swagger/#!/docflow/post_api_docflow_doc_create" TargetMode="External" /><Relationship Type="http://schemas.openxmlformats.org/officeDocument/2006/relationships/hyperlink" Id="rId120" Target="http://tdd.lan.arta.kz/docs/synergy/minsky/sdk-doc/swagger/#!/docflow/post_api_docflow_doc_log" TargetMode="External" /><Relationship Type="http://schemas.openxmlformats.org/officeDocument/2006/relationships/hyperlink" Id="rId121" Target="http://tdd.lan.arta.kz/docs/synergy/minsky/sdk-doc/swagger/#!/docflow/post_api_docflow_doc_register" TargetMode="External" /><Relationship Type="http://schemas.openxmlformats.org/officeDocument/2006/relationships/hyperlink" Id="rId122" Target="http://tdd.lan.arta.kz/docs/synergy/minsky/sdk-doc/swagger/#!/docflow/post_api_docflow_doc_reject" TargetMode="External" /><Relationship Type="http://schemas.openxmlformats.org/officeDocument/2006/relationships/hyperlink" Id="rId123" Target="http://tdd.lan.arta.kz/docs/synergy/minsky/sdk-doc/swagger/#!/docflow/post_api_docflow_doc_save" TargetMode="External" /><Relationship Type="http://schemas.openxmlformats.org/officeDocument/2006/relationships/hyperlink" Id="rId216" Target="http://tdd.lan.arta.kz/docs/synergy/minsky/sdk-doc/swagger/#/workflow/post_api_workflow_work_set_responsibles" TargetMode="External" /><Relationship Type="http://schemas.openxmlformats.org/officeDocument/2006/relationships/hyperlink" Id="rId86" Target="http://wildfly.org/news/2018/08/30/WildFly14-Final-Released/" TargetMode="External" /><Relationship Type="http://schemas.openxmlformats.org/officeDocument/2006/relationships/hyperlink" Id="rId95" Target="https://docs.datastax.com/en/archived/cassandra/2.2/cassandra/features.html" TargetMode="External" /><Relationship Type="http://schemas.openxmlformats.org/officeDocument/2006/relationships/hyperlink" Id="rId96" Target="https://docs.datastax.com/en/archived/cassandra/2.2/cassandra/operations/opsAboutConfigCompress.html" TargetMode="External" /><Relationship Type="http://schemas.openxmlformats.org/officeDocument/2006/relationships/hyperlink" Id="rId98" Target="https://docs.datastax.com/en/archived/cassandra/2.2/cassandra/operations/opsConfigCompress.html" TargetMode="External" /><Relationship Type="http://schemas.openxmlformats.org/officeDocument/2006/relationships/hyperlink" Id="rId97" Target="https://docs.datastax.com/en/archived/cassandra/2.2/cassandra/operations/opsWhenCompress.html" TargetMode="External" /><Relationship Type="http://schemas.openxmlformats.org/officeDocument/2006/relationships/hyperlink" Id="rId22" Target="src/breaking_changes.xhtml" TargetMode="External" /><Relationship Type="http://schemas.openxmlformats.org/officeDocument/2006/relationships/hyperlink" Id="rId35" Target="src/common.xhtml" TargetMode="External" /><Relationship Type="http://schemas.openxmlformats.org/officeDocument/2006/relationships/hyperlink" Id="rId65" Target="src/custom-modules.xhtml" TargetMode="External" /><Relationship Type="http://schemas.openxmlformats.org/officeDocument/2006/relationships/hyperlink" Id="rId66" Target="src/custom-modules.xhtml#id2" TargetMode="External" /><Relationship Type="http://schemas.openxmlformats.org/officeDocument/2006/relationships/hyperlink" Id="rId67" Target="src/custom-modules.xhtml#id3" TargetMode="External" /><Relationship Type="http://schemas.openxmlformats.org/officeDocument/2006/relationships/hyperlink" Id="rId68" Target="src/custom-modules.xhtml#id4" TargetMode="External" /><Relationship Type="http://schemas.openxmlformats.org/officeDocument/2006/relationships/hyperlink" Id="rId70" Target="src/dict-import.xhtml" TargetMode="External" /><Relationship Type="http://schemas.openxmlformats.org/officeDocument/2006/relationships/hyperlink" Id="rId71" Target="src/dict-import.xhtml#id2" TargetMode="External" /><Relationship Type="http://schemas.openxmlformats.org/officeDocument/2006/relationships/hyperlink" Id="rId72" Target="src/dict-import.xhtml#id3" TargetMode="External" /><Relationship Type="http://schemas.openxmlformats.org/officeDocument/2006/relationships/hyperlink" Id="rId73" Target="src/dict-import.xhtml#id4" TargetMode="External" /><Relationship Type="http://schemas.openxmlformats.org/officeDocument/2006/relationships/hyperlink" Id="rId74" Target="src/dict-import.xhtml#id5" TargetMode="External" /><Relationship Type="http://schemas.openxmlformats.org/officeDocument/2006/relationships/hyperlink" Id="rId75" Target="src/dict-import.xhtml#id6" TargetMode="External" /><Relationship Type="http://schemas.openxmlformats.org/officeDocument/2006/relationships/hyperlink" Id="rId39" Target="src/doc-exchange.xhtml" TargetMode="External" /><Relationship Type="http://schemas.openxmlformats.org/officeDocument/2006/relationships/hyperlink" Id="rId40" Target="src/doc-exchange.xhtml#api" TargetMode="External" /><Relationship Type="http://schemas.openxmlformats.org/officeDocument/2006/relationships/hyperlink" Id="rId44" Target="src/doc-exchange.xhtml#id10" TargetMode="External" /><Relationship Type="http://schemas.openxmlformats.org/officeDocument/2006/relationships/hyperlink" Id="rId45" Target="src/doc-exchange.xhtml#id11" TargetMode="External" /><Relationship Type="http://schemas.openxmlformats.org/officeDocument/2006/relationships/hyperlink" Id="rId46" Target="src/doc-exchange.xhtml#id12" TargetMode="External" /><Relationship Type="http://schemas.openxmlformats.org/officeDocument/2006/relationships/hyperlink" Id="rId47" Target="src/doc-exchange.xhtml#id13" TargetMode="External" /><Relationship Type="http://schemas.openxmlformats.org/officeDocument/2006/relationships/hyperlink" Id="rId41" Target="src/doc-exchange.xhtml#id7" TargetMode="External" /><Relationship Type="http://schemas.openxmlformats.org/officeDocument/2006/relationships/hyperlink" Id="rId42" Target="src/doc-exchange.xhtml#id8" TargetMode="External" /><Relationship Type="http://schemas.openxmlformats.org/officeDocument/2006/relationships/hyperlink" Id="rId43" Target="src/doc-exchange.xhtml#id9" TargetMode="External" /><Relationship Type="http://schemas.openxmlformats.org/officeDocument/2006/relationships/hyperlink" Id="rId69" Target="src/filters.xhtml" TargetMode="External" /><Relationship Type="http://schemas.openxmlformats.org/officeDocument/2006/relationships/hyperlink" Id="rId49" Target="src/forms.xhtml" TargetMode="External" /><Relationship Type="http://schemas.openxmlformats.org/officeDocument/2006/relationships/hyperlink" Id="rId56" Target="src/forms.xhtml#id10" TargetMode="External" /><Relationship Type="http://schemas.openxmlformats.org/officeDocument/2006/relationships/hyperlink" Id="rId57" Target="src/forms.xhtml#id11" TargetMode="External" /><Relationship Type="http://schemas.openxmlformats.org/officeDocument/2006/relationships/hyperlink" Id="rId58" Target="src/forms.xhtml#id12" TargetMode="External" /><Relationship Type="http://schemas.openxmlformats.org/officeDocument/2006/relationships/hyperlink" Id="rId59" Target="src/forms.xhtml#id13" TargetMode="External" /><Relationship Type="http://schemas.openxmlformats.org/officeDocument/2006/relationships/hyperlink" Id="rId50" Target="src/forms.xhtml#id2" TargetMode="External" /><Relationship Type="http://schemas.openxmlformats.org/officeDocument/2006/relationships/hyperlink" Id="rId51" Target="src/forms.xhtml#id3" TargetMode="External" /><Relationship Type="http://schemas.openxmlformats.org/officeDocument/2006/relationships/hyperlink" Id="rId52" Target="src/forms.xhtml#id4" TargetMode="External" /><Relationship Type="http://schemas.openxmlformats.org/officeDocument/2006/relationships/hyperlink" Id="rId53" Target="src/forms.xhtml#id5" TargetMode="External" /><Relationship Type="http://schemas.openxmlformats.org/officeDocument/2006/relationships/hyperlink" Id="rId54" Target="src/forms.xhtml#id6" TargetMode="External" /><Relationship Type="http://schemas.openxmlformats.org/officeDocument/2006/relationships/hyperlink" Id="rId55" Target="src/forms.xhtml#id9" TargetMode="External" /><Relationship Type="http://schemas.openxmlformats.org/officeDocument/2006/relationships/hyperlink" Id="rId21" Target="src/intro.xhtml" TargetMode="External" /><Relationship Type="http://schemas.openxmlformats.org/officeDocument/2006/relationships/hyperlink" Id="rId48" Target="src/libraries.xhtml" TargetMode="External" /><Relationship Type="http://schemas.openxmlformats.org/officeDocument/2006/relationships/hyperlink" Id="rId36" Target="src/processes.xhtml" TargetMode="External" /><Relationship Type="http://schemas.openxmlformats.org/officeDocument/2006/relationships/hyperlink" Id="rId37" Target="src/processes.xhtml#id2" TargetMode="External" /><Relationship Type="http://schemas.openxmlformats.org/officeDocument/2006/relationships/hyperlink" Id="rId38" Target="src/processes.xhtml#id3" TargetMode="External" /><Relationship Type="http://schemas.openxmlformats.org/officeDocument/2006/relationships/hyperlink" Id="rId60" Target="src/set-responsible.xhtml" TargetMode="External" /><Relationship Type="http://schemas.openxmlformats.org/officeDocument/2006/relationships/hyperlink" Id="rId61" Target="src/set-responsible.xhtml#api" TargetMode="External" /><Relationship Type="http://schemas.openxmlformats.org/officeDocument/2006/relationships/hyperlink" Id="rId62" Target="src/set-responsible.xhtml#id3" TargetMode="External" /><Relationship Type="http://schemas.openxmlformats.org/officeDocument/2006/relationships/hyperlink" Id="rId63" Target="src/set-responsible.xhtml#id4" TargetMode="External" /><Relationship Type="http://schemas.openxmlformats.org/officeDocument/2006/relationships/hyperlink" Id="rId64" Target="src/set-responsible.xhtml#id5" TargetMode="External" /><Relationship Type="http://schemas.openxmlformats.org/officeDocument/2006/relationships/hyperlink" Id="rId23" Target="src/tech_stack.xhtml" TargetMode="External" /><Relationship Type="http://schemas.openxmlformats.org/officeDocument/2006/relationships/hyperlink" Id="rId32" Target="src/tech_stack.xhtml#cassandra" TargetMode="External" /><Relationship Type="http://schemas.openxmlformats.org/officeDocument/2006/relationships/hyperlink" Id="rId33" Target="src/tech_stack.xhtml#id11" TargetMode="External" /><Relationship Type="http://schemas.openxmlformats.org/officeDocument/2006/relationships/hyperlink" Id="rId25" Target="src/tech_stack.xhtml#id3" TargetMode="External" /><Relationship Type="http://schemas.openxmlformats.org/officeDocument/2006/relationships/hyperlink" Id="rId26" Target="src/tech_stack.xhtml#id4" TargetMode="External" /><Relationship Type="http://schemas.openxmlformats.org/officeDocument/2006/relationships/hyperlink" Id="rId27" Target="src/tech_stack.xhtml#id5" TargetMode="External" /><Relationship Type="http://schemas.openxmlformats.org/officeDocument/2006/relationships/hyperlink" Id="rId28" Target="src/tech_stack.xhtml#id6" TargetMode="External" /><Relationship Type="http://schemas.openxmlformats.org/officeDocument/2006/relationships/hyperlink" Id="rId30" Target="src/tech_stack.xhtml#id7" TargetMode="External" /><Relationship Type="http://schemas.openxmlformats.org/officeDocument/2006/relationships/hyperlink" Id="rId31" Target="src/tech_stack.xhtml#id8" TargetMode="External" /><Relationship Type="http://schemas.openxmlformats.org/officeDocument/2006/relationships/hyperlink" Id="rId34" Target="src/tech_stack.xhtml#jasperreports" TargetMode="External" /><Relationship Type="http://schemas.openxmlformats.org/officeDocument/2006/relationships/hyperlink" Id="rId29" Target="src/tech_stack.xhtml#lucene" TargetMode="External" /><Relationship Type="http://schemas.openxmlformats.org/officeDocument/2006/relationships/hyperlink" Id="rId24" Target="src/tech_stack.xhtml#wildfly" TargetMode="External" /><Relationship Type="http://schemas.openxmlformats.org/officeDocument/2006/relationships/hyperlink" Id="rId76" Target="src/upgrade.xhtml" TargetMode="External" /><Relationship Type="http://schemas.openxmlformats.org/officeDocument/2006/relationships/hyperlink" Id="rId77" Target="src/upgrade.xhtml#id1" TargetMode="External" /><Relationship Type="http://schemas.openxmlformats.org/officeDocument/2006/relationships/hyperlink" Id="rId78" Target="src/upgrade.xhtml#id2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144" Target="../_static/app-exchange2019-06-19_16-06-03.7z" TargetMode="External" /><Relationship Type="http://schemas.openxmlformats.org/officeDocument/2006/relationships/hyperlink" Id="rId145" Target="../_static/app-exchange2019-06-19_16-25-56.7z" TargetMode="External" /><Relationship Type="http://schemas.openxmlformats.org/officeDocument/2006/relationships/hyperlink" Id="rId101" Target="http://rtd.lan.arta.kz/docs/guide/ru/minsky/reports.html" TargetMode="External" /><Relationship Type="http://schemas.openxmlformats.org/officeDocument/2006/relationships/hyperlink" Id="rId124" Target="http://tdd.lan.arta.kz/docs/synergy/minsky/sdk-doc/swagger/#!/dictionary/post_api_dictionary_records_save" TargetMode="External" /><Relationship Type="http://schemas.openxmlformats.org/officeDocument/2006/relationships/hyperlink" Id="rId119" Target="http://tdd.lan.arta.kz/docs/synergy/minsky/sdk-doc/swagger/#!/docflow/post_api_docflow_doc_create" TargetMode="External" /><Relationship Type="http://schemas.openxmlformats.org/officeDocument/2006/relationships/hyperlink" Id="rId120" Target="http://tdd.lan.arta.kz/docs/synergy/minsky/sdk-doc/swagger/#!/docflow/post_api_docflow_doc_log" TargetMode="External" /><Relationship Type="http://schemas.openxmlformats.org/officeDocument/2006/relationships/hyperlink" Id="rId121" Target="http://tdd.lan.arta.kz/docs/synergy/minsky/sdk-doc/swagger/#!/docflow/post_api_docflow_doc_register" TargetMode="External" /><Relationship Type="http://schemas.openxmlformats.org/officeDocument/2006/relationships/hyperlink" Id="rId122" Target="http://tdd.lan.arta.kz/docs/synergy/minsky/sdk-doc/swagger/#!/docflow/post_api_docflow_doc_reject" TargetMode="External" /><Relationship Type="http://schemas.openxmlformats.org/officeDocument/2006/relationships/hyperlink" Id="rId123" Target="http://tdd.lan.arta.kz/docs/synergy/minsky/sdk-doc/swagger/#!/docflow/post_api_docflow_doc_save" TargetMode="External" /><Relationship Type="http://schemas.openxmlformats.org/officeDocument/2006/relationships/hyperlink" Id="rId216" Target="http://tdd.lan.arta.kz/docs/synergy/minsky/sdk-doc/swagger/#/workflow/post_api_workflow_work_set_responsibles" TargetMode="External" /><Relationship Type="http://schemas.openxmlformats.org/officeDocument/2006/relationships/hyperlink" Id="rId86" Target="http://wildfly.org/news/2018/08/30/WildFly14-Final-Released/" TargetMode="External" /><Relationship Type="http://schemas.openxmlformats.org/officeDocument/2006/relationships/hyperlink" Id="rId95" Target="https://docs.datastax.com/en/archived/cassandra/2.2/cassandra/features.html" TargetMode="External" /><Relationship Type="http://schemas.openxmlformats.org/officeDocument/2006/relationships/hyperlink" Id="rId96" Target="https://docs.datastax.com/en/archived/cassandra/2.2/cassandra/operations/opsAboutConfigCompress.html" TargetMode="External" /><Relationship Type="http://schemas.openxmlformats.org/officeDocument/2006/relationships/hyperlink" Id="rId98" Target="https://docs.datastax.com/en/archived/cassandra/2.2/cassandra/operations/opsConfigCompress.html" TargetMode="External" /><Relationship Type="http://schemas.openxmlformats.org/officeDocument/2006/relationships/hyperlink" Id="rId97" Target="https://docs.datastax.com/en/archived/cassandra/2.2/cassandra/operations/opsWhenCompress.html" TargetMode="External" /><Relationship Type="http://schemas.openxmlformats.org/officeDocument/2006/relationships/hyperlink" Id="rId22" Target="src/breaking_changes.xhtml" TargetMode="External" /><Relationship Type="http://schemas.openxmlformats.org/officeDocument/2006/relationships/hyperlink" Id="rId35" Target="src/common.xhtml" TargetMode="External" /><Relationship Type="http://schemas.openxmlformats.org/officeDocument/2006/relationships/hyperlink" Id="rId65" Target="src/custom-modules.xhtml" TargetMode="External" /><Relationship Type="http://schemas.openxmlformats.org/officeDocument/2006/relationships/hyperlink" Id="rId66" Target="src/custom-modules.xhtml#id2" TargetMode="External" /><Relationship Type="http://schemas.openxmlformats.org/officeDocument/2006/relationships/hyperlink" Id="rId67" Target="src/custom-modules.xhtml#id3" TargetMode="External" /><Relationship Type="http://schemas.openxmlformats.org/officeDocument/2006/relationships/hyperlink" Id="rId68" Target="src/custom-modules.xhtml#id4" TargetMode="External" /><Relationship Type="http://schemas.openxmlformats.org/officeDocument/2006/relationships/hyperlink" Id="rId70" Target="src/dict-import.xhtml" TargetMode="External" /><Relationship Type="http://schemas.openxmlformats.org/officeDocument/2006/relationships/hyperlink" Id="rId71" Target="src/dict-import.xhtml#id2" TargetMode="External" /><Relationship Type="http://schemas.openxmlformats.org/officeDocument/2006/relationships/hyperlink" Id="rId72" Target="src/dict-import.xhtml#id3" TargetMode="External" /><Relationship Type="http://schemas.openxmlformats.org/officeDocument/2006/relationships/hyperlink" Id="rId73" Target="src/dict-import.xhtml#id4" TargetMode="External" /><Relationship Type="http://schemas.openxmlformats.org/officeDocument/2006/relationships/hyperlink" Id="rId74" Target="src/dict-import.xhtml#id5" TargetMode="External" /><Relationship Type="http://schemas.openxmlformats.org/officeDocument/2006/relationships/hyperlink" Id="rId75" Target="src/dict-import.xhtml#id6" TargetMode="External" /><Relationship Type="http://schemas.openxmlformats.org/officeDocument/2006/relationships/hyperlink" Id="rId39" Target="src/doc-exchange.xhtml" TargetMode="External" /><Relationship Type="http://schemas.openxmlformats.org/officeDocument/2006/relationships/hyperlink" Id="rId40" Target="src/doc-exchange.xhtml#api" TargetMode="External" /><Relationship Type="http://schemas.openxmlformats.org/officeDocument/2006/relationships/hyperlink" Id="rId44" Target="src/doc-exchange.xhtml#id10" TargetMode="External" /><Relationship Type="http://schemas.openxmlformats.org/officeDocument/2006/relationships/hyperlink" Id="rId45" Target="src/doc-exchange.xhtml#id11" TargetMode="External" /><Relationship Type="http://schemas.openxmlformats.org/officeDocument/2006/relationships/hyperlink" Id="rId46" Target="src/doc-exchange.xhtml#id12" TargetMode="External" /><Relationship Type="http://schemas.openxmlformats.org/officeDocument/2006/relationships/hyperlink" Id="rId47" Target="src/doc-exchange.xhtml#id13" TargetMode="External" /><Relationship Type="http://schemas.openxmlformats.org/officeDocument/2006/relationships/hyperlink" Id="rId41" Target="src/doc-exchange.xhtml#id7" TargetMode="External" /><Relationship Type="http://schemas.openxmlformats.org/officeDocument/2006/relationships/hyperlink" Id="rId42" Target="src/doc-exchange.xhtml#id8" TargetMode="External" /><Relationship Type="http://schemas.openxmlformats.org/officeDocument/2006/relationships/hyperlink" Id="rId43" Target="src/doc-exchange.xhtml#id9" TargetMode="External" /><Relationship Type="http://schemas.openxmlformats.org/officeDocument/2006/relationships/hyperlink" Id="rId69" Target="src/filters.xhtml" TargetMode="External" /><Relationship Type="http://schemas.openxmlformats.org/officeDocument/2006/relationships/hyperlink" Id="rId49" Target="src/forms.xhtml" TargetMode="External" /><Relationship Type="http://schemas.openxmlformats.org/officeDocument/2006/relationships/hyperlink" Id="rId56" Target="src/forms.xhtml#id10" TargetMode="External" /><Relationship Type="http://schemas.openxmlformats.org/officeDocument/2006/relationships/hyperlink" Id="rId57" Target="src/forms.xhtml#id11" TargetMode="External" /><Relationship Type="http://schemas.openxmlformats.org/officeDocument/2006/relationships/hyperlink" Id="rId58" Target="src/forms.xhtml#id12" TargetMode="External" /><Relationship Type="http://schemas.openxmlformats.org/officeDocument/2006/relationships/hyperlink" Id="rId59" Target="src/forms.xhtml#id13" TargetMode="External" /><Relationship Type="http://schemas.openxmlformats.org/officeDocument/2006/relationships/hyperlink" Id="rId50" Target="src/forms.xhtml#id2" TargetMode="External" /><Relationship Type="http://schemas.openxmlformats.org/officeDocument/2006/relationships/hyperlink" Id="rId51" Target="src/forms.xhtml#id3" TargetMode="External" /><Relationship Type="http://schemas.openxmlformats.org/officeDocument/2006/relationships/hyperlink" Id="rId52" Target="src/forms.xhtml#id4" TargetMode="External" /><Relationship Type="http://schemas.openxmlformats.org/officeDocument/2006/relationships/hyperlink" Id="rId53" Target="src/forms.xhtml#id5" TargetMode="External" /><Relationship Type="http://schemas.openxmlformats.org/officeDocument/2006/relationships/hyperlink" Id="rId54" Target="src/forms.xhtml#id6" TargetMode="External" /><Relationship Type="http://schemas.openxmlformats.org/officeDocument/2006/relationships/hyperlink" Id="rId55" Target="src/forms.xhtml#id9" TargetMode="External" /><Relationship Type="http://schemas.openxmlformats.org/officeDocument/2006/relationships/hyperlink" Id="rId21" Target="src/intro.xhtml" TargetMode="External" /><Relationship Type="http://schemas.openxmlformats.org/officeDocument/2006/relationships/hyperlink" Id="rId48" Target="src/libraries.xhtml" TargetMode="External" /><Relationship Type="http://schemas.openxmlformats.org/officeDocument/2006/relationships/hyperlink" Id="rId36" Target="src/processes.xhtml" TargetMode="External" /><Relationship Type="http://schemas.openxmlformats.org/officeDocument/2006/relationships/hyperlink" Id="rId37" Target="src/processes.xhtml#id2" TargetMode="External" /><Relationship Type="http://schemas.openxmlformats.org/officeDocument/2006/relationships/hyperlink" Id="rId38" Target="src/processes.xhtml#id3" TargetMode="External" /><Relationship Type="http://schemas.openxmlformats.org/officeDocument/2006/relationships/hyperlink" Id="rId60" Target="src/set-responsible.xhtml" TargetMode="External" /><Relationship Type="http://schemas.openxmlformats.org/officeDocument/2006/relationships/hyperlink" Id="rId61" Target="src/set-responsible.xhtml#api" TargetMode="External" /><Relationship Type="http://schemas.openxmlformats.org/officeDocument/2006/relationships/hyperlink" Id="rId62" Target="src/set-responsible.xhtml#id3" TargetMode="External" /><Relationship Type="http://schemas.openxmlformats.org/officeDocument/2006/relationships/hyperlink" Id="rId63" Target="src/set-responsible.xhtml#id4" TargetMode="External" /><Relationship Type="http://schemas.openxmlformats.org/officeDocument/2006/relationships/hyperlink" Id="rId64" Target="src/set-responsible.xhtml#id5" TargetMode="External" /><Relationship Type="http://schemas.openxmlformats.org/officeDocument/2006/relationships/hyperlink" Id="rId23" Target="src/tech_stack.xhtml" TargetMode="External" /><Relationship Type="http://schemas.openxmlformats.org/officeDocument/2006/relationships/hyperlink" Id="rId32" Target="src/tech_stack.xhtml#cassandra" TargetMode="External" /><Relationship Type="http://schemas.openxmlformats.org/officeDocument/2006/relationships/hyperlink" Id="rId33" Target="src/tech_stack.xhtml#id11" TargetMode="External" /><Relationship Type="http://schemas.openxmlformats.org/officeDocument/2006/relationships/hyperlink" Id="rId25" Target="src/tech_stack.xhtml#id3" TargetMode="External" /><Relationship Type="http://schemas.openxmlformats.org/officeDocument/2006/relationships/hyperlink" Id="rId26" Target="src/tech_stack.xhtml#id4" TargetMode="External" /><Relationship Type="http://schemas.openxmlformats.org/officeDocument/2006/relationships/hyperlink" Id="rId27" Target="src/tech_stack.xhtml#id5" TargetMode="External" /><Relationship Type="http://schemas.openxmlformats.org/officeDocument/2006/relationships/hyperlink" Id="rId28" Target="src/tech_stack.xhtml#id6" TargetMode="External" /><Relationship Type="http://schemas.openxmlformats.org/officeDocument/2006/relationships/hyperlink" Id="rId30" Target="src/tech_stack.xhtml#id7" TargetMode="External" /><Relationship Type="http://schemas.openxmlformats.org/officeDocument/2006/relationships/hyperlink" Id="rId31" Target="src/tech_stack.xhtml#id8" TargetMode="External" /><Relationship Type="http://schemas.openxmlformats.org/officeDocument/2006/relationships/hyperlink" Id="rId34" Target="src/tech_stack.xhtml#jasperreports" TargetMode="External" /><Relationship Type="http://schemas.openxmlformats.org/officeDocument/2006/relationships/hyperlink" Id="rId29" Target="src/tech_stack.xhtml#lucene" TargetMode="External" /><Relationship Type="http://schemas.openxmlformats.org/officeDocument/2006/relationships/hyperlink" Id="rId24" Target="src/tech_stack.xhtml#wildfly" TargetMode="External" /><Relationship Type="http://schemas.openxmlformats.org/officeDocument/2006/relationships/hyperlink" Id="rId76" Target="src/upgrade.xhtml" TargetMode="External" /><Relationship Type="http://schemas.openxmlformats.org/officeDocument/2006/relationships/hyperlink" Id="rId77" Target="src/upgrade.xhtml#id1" TargetMode="External" /><Relationship Type="http://schemas.openxmlformats.org/officeDocument/2006/relationships/hyperlink" Id="rId78" Target="src/upgrade.xhtml#id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Что нового в версии ARTA Synergy 0.1-alpha</dc:title>
  <dc:creator>unknown</dc:creator>
  <cp:keywords/>
  <dcterms:created xsi:type="dcterms:W3CDTF">2024-06-03T09:33:07Z</dcterms:created>
  <dcterms:modified xsi:type="dcterms:W3CDTF">2024-06-03T09:33:07Z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