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25.png" ContentType="image/png"/>
  <Override PartName="/word/media/rId27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Релизы Synergy ITSM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2019-04-01T01:11:02Z</w:t>
      </w:r>
    </w:p>
    <w:p>
      <w:pPr>
        <w:pStyle w:val="FirstParagraph"/>
      </w:pPr>
      <w:bookmarkStart w:id="20" w:name="index.xhtml"/>
      <w:bookmarkEnd w:id="20"/>
    </w:p>
    <w:bookmarkStart w:id="21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release_1_0.xhtml">
        <w:r>
          <w:rPr>
            <w:rStyle w:val="Hyperlink"/>
          </w:rPr>
          <w:t xml:space="preserve">1. Релиз Synergy ITSM v1.0</w:t>
        </w:r>
      </w:hyperlink>
    </w:p>
    <w:p>
      <w:pPr>
        <w:pStyle w:val="Compact"/>
        <w:numPr>
          <w:numId w:val="1002"/>
          <w:ilvl w:val="1"/>
        </w:numPr>
      </w:pPr>
      <w:hyperlink w:anchor="release_1_0.xhtml#id1">
        <w:r>
          <w:rPr>
            <w:rStyle w:val="Hyperlink"/>
          </w:rPr>
          <w:t xml:space="preserve">1.1. Встраивайтесь во входящий поток обращений</w:t>
        </w:r>
      </w:hyperlink>
    </w:p>
    <w:p>
      <w:pPr>
        <w:pStyle w:val="Compact"/>
        <w:numPr>
          <w:numId w:val="1002"/>
          <w:ilvl w:val="1"/>
        </w:numPr>
      </w:pPr>
      <w:hyperlink w:anchor="release_1_0.xhtml#id2">
        <w:r>
          <w:rPr>
            <w:rStyle w:val="Hyperlink"/>
          </w:rPr>
          <w:t xml:space="preserve">1.2. Упорядочивайте входящий поток обращений для скорейшего их выполнения</w:t>
        </w:r>
      </w:hyperlink>
    </w:p>
    <w:p>
      <w:pPr>
        <w:pStyle w:val="Compact"/>
        <w:numPr>
          <w:numId w:val="1002"/>
          <w:ilvl w:val="1"/>
        </w:numPr>
      </w:pPr>
      <w:hyperlink w:anchor="release_1_0.xhtml#id3">
        <w:r>
          <w:rPr>
            <w:rStyle w:val="Hyperlink"/>
          </w:rPr>
          <w:t xml:space="preserve">1.3. Определяйте дальнейшее движение обращения исходя из контекста</w:t>
        </w:r>
      </w:hyperlink>
    </w:p>
    <w:p>
      <w:pPr>
        <w:pStyle w:val="Compact"/>
        <w:numPr>
          <w:numId w:val="1002"/>
          <w:ilvl w:val="1"/>
        </w:numPr>
      </w:pPr>
      <w:hyperlink w:anchor="release_1_0.xhtml#id4">
        <w:r>
          <w:rPr>
            <w:rStyle w:val="Hyperlink"/>
          </w:rPr>
          <w:t xml:space="preserve">1.4. Структурируйте процесс исполнения обращения</w:t>
        </w:r>
      </w:hyperlink>
    </w:p>
    <w:p>
      <w:pPr>
        <w:pStyle w:val="Compact"/>
        <w:numPr>
          <w:numId w:val="1002"/>
          <w:ilvl w:val="1"/>
        </w:numPr>
      </w:pPr>
      <w:hyperlink w:anchor="release_1_0.xhtml#id5">
        <w:r>
          <w:rPr>
            <w:rStyle w:val="Hyperlink"/>
          </w:rPr>
          <w:t xml:space="preserve">1.5. Поддерживайте непрерывную связь с инициатором обращения</w:t>
        </w:r>
      </w:hyperlink>
    </w:p>
    <w:p>
      <w:pPr>
        <w:pStyle w:val="Compact"/>
        <w:numPr>
          <w:numId w:val="1002"/>
          <w:ilvl w:val="1"/>
        </w:numPr>
      </w:pPr>
      <w:hyperlink w:anchor="release_1_0.xhtml#id6">
        <w:r>
          <w:rPr>
            <w:rStyle w:val="Hyperlink"/>
          </w:rPr>
          <w:t xml:space="preserve">1.6. Контролируйте соблюдение регламента и загрузку ресурсов</w:t>
        </w:r>
      </w:hyperlink>
    </w:p>
    <w:p>
      <w:pPr>
        <w:pStyle w:val="Compact"/>
        <w:numPr>
          <w:numId w:val="1002"/>
          <w:ilvl w:val="1"/>
        </w:numPr>
      </w:pPr>
      <w:hyperlink w:anchor="release_1_0.xhtml#id7">
        <w:r>
          <w:rPr>
            <w:rStyle w:val="Hyperlink"/>
          </w:rPr>
          <w:t xml:space="preserve">1.7. Полезные ссылки:</w:t>
        </w:r>
      </w:hyperlink>
    </w:p>
    <w:bookmarkEnd w:id="21"/>
    <w:p>
      <w:pPr>
        <w:pStyle w:val="FirstParagraph"/>
      </w:pPr>
      <w:bookmarkStart w:id="22" w:name="release_1_0.xhtml"/>
      <w:bookmarkEnd w:id="22"/>
    </w:p>
    <w:bookmarkStart w:id="46" w:name="release_1_0.xhtml#synergy-itsm-v1-0"/>
    <w:p>
      <w:pPr>
        <w:pStyle w:val="Heading1"/>
      </w:pPr>
      <w:r>
        <w:t xml:space="preserve">1. Релиз Synergy ITSM v1.0</w:t>
      </w:r>
    </w:p>
    <w:p>
      <w:pPr>
        <w:pStyle w:val="FirstParagraph"/>
      </w:pPr>
      <w:r>
        <w:t xml:space="preserve">На сегодняшний день общая тенденция цифровизации процессов, как внутренних, так и внешних (инструментов взаимодействия с клиентом),</w:t>
      </w:r>
      <w:r>
        <w:t xml:space="preserve"> </w:t>
      </w:r>
      <w:r>
        <w:t xml:space="preserve">существенно повысила значимость стабильной, отказоустойчивой работы всех компонентов внутренней инфраструктуры.</w:t>
      </w:r>
    </w:p>
    <w:p>
      <w:pPr>
        <w:pStyle w:val="BodyText"/>
      </w:pPr>
      <w:r>
        <w:t xml:space="preserve">Что для современного человека значит простой или сбой в работе сервисов, таких как мобильный банкинг или приложение для вызова такси,</w:t>
      </w:r>
      <w:r>
        <w:t xml:space="preserve"> </w:t>
      </w:r>
      <w:r>
        <w:t xml:space="preserve">когда мы все привыкли к мгновенному доступу к ним с мобильных устройств?</w:t>
      </w:r>
    </w:p>
    <w:p>
      <w:pPr>
        <w:pStyle w:val="BodyText"/>
      </w:pPr>
      <w:r>
        <w:t xml:space="preserve">Такие ситуации в высококонкурентной среде могут оказать огромное негативное влияние на репутацию и бизнес, в целом.</w:t>
      </w:r>
    </w:p>
    <w:p>
      <w:pPr>
        <w:pStyle w:val="BodyText"/>
      </w:pPr>
      <w:r>
        <w:t xml:space="preserve">Основным инструментом минимизации подобных рисков должна стать система, призванная осуществлять:</w:t>
      </w:r>
    </w:p>
    <w:p>
      <w:pPr>
        <w:numPr>
          <w:numId w:val="1003"/>
          <w:ilvl w:val="0"/>
        </w:numPr>
      </w:pPr>
      <w:r>
        <w:t xml:space="preserve">оперативное реагирование</w:t>
      </w:r>
    </w:p>
    <w:p>
      <w:pPr>
        <w:numPr>
          <w:numId w:val="1003"/>
          <w:ilvl w:val="0"/>
        </w:numPr>
      </w:pPr>
      <w:r>
        <w:t xml:space="preserve">применение предупреждающих мер</w:t>
      </w:r>
    </w:p>
    <w:p>
      <w:pPr>
        <w:pStyle w:val="FirstParagraph"/>
      </w:pPr>
      <w:r>
        <w:t xml:space="preserve">для обеспечения поддержки непрерывной работы бизнес-критичных сервисов.</w:t>
      </w:r>
    </w:p>
    <w:bookmarkStart w:id="24" w:name="release_1_0.xhtml#id12"/>
    <w:p>
      <w:pPr>
        <w:pStyle w:val="Compact"/>
      </w:pPr>
      <w:r>
        <w:drawing>
          <wp:inline>
            <wp:extent cx="5334000" cy="3979511"/>
            <wp:effectExtent b="0" l="0" r="0" t="0"/>
            <wp:docPr descr="_images/1_0.png" title="" id="1" name="Picture"/>
            <a:graphic>
              <a:graphicData uri="http://schemas.openxmlformats.org/drawingml/2006/picture">
                <pic:pic>
                  <pic:nvPicPr>
                    <pic:cNvPr descr="_images/1_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79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24"/>
    <w:p>
      <w:pPr>
        <w:pStyle w:val="BodyText"/>
      </w:pPr>
      <w:r>
        <w:t xml:space="preserve">Центральный офис Arta Software рад представить свою версию системы, направленной на решение подобных задач - Synergy ITSM v.1.0.</w:t>
      </w:r>
    </w:p>
    <w:p>
      <w:r>
        <w:pict>
          <v:rect style="width:0;height:1.5pt" o:hralign="center" o:hrstd="t" o:hr="t"/>
        </w:pict>
      </w:r>
    </w:p>
    <w:bookmarkStart w:id="29" w:name="release_1_0.xhtml#id1"/>
    <w:p>
      <w:pPr>
        <w:pStyle w:val="Heading2"/>
      </w:pPr>
      <w:r>
        <w:t xml:space="preserve">1.1. Встраивайтесь во входящий поток обращений</w:t>
      </w:r>
    </w:p>
    <w:p>
      <w:pPr>
        <w:pStyle w:val="FirstParagraph"/>
      </w:pPr>
      <w:r>
        <w:t xml:space="preserve">Регистрация обращений через:</w:t>
      </w:r>
    </w:p>
    <w:p>
      <w:pPr>
        <w:numPr>
          <w:numId w:val="1004"/>
          <w:ilvl w:val="0"/>
        </w:numPr>
      </w:pPr>
      <w:r>
        <w:t xml:space="preserve">E-mail;</w:t>
      </w:r>
    </w:p>
    <w:p>
      <w:pPr>
        <w:numPr>
          <w:numId w:val="1004"/>
          <w:ilvl w:val="0"/>
        </w:numPr>
      </w:pPr>
      <w:r>
        <w:t xml:space="preserve">API (Портал, системы мониторинга);</w:t>
      </w:r>
    </w:p>
    <w:p>
      <w:pPr>
        <w:numPr>
          <w:numId w:val="1004"/>
          <w:ilvl w:val="0"/>
        </w:numPr>
      </w:pPr>
      <w:r>
        <w:t xml:space="preserve">Ручной ввод от авторизованного персонала;</w:t>
      </w:r>
    </w:p>
    <w:bookmarkStart w:id="26" w:name="release_1_0.xhtml#id13"/>
    <w:p>
      <w:pPr>
        <w:pStyle w:val="Compact"/>
      </w:pPr>
      <w:r>
        <w:drawing>
          <wp:inline>
            <wp:extent cx="5334000" cy="2506337"/>
            <wp:effectExtent b="0" l="0" r="0" t="0"/>
            <wp:docPr descr="_images/Portal_main_1.png" title="" id="1" name="Picture"/>
            <a:graphic>
              <a:graphicData uri="http://schemas.openxmlformats.org/drawingml/2006/picture">
                <pic:pic>
                  <pic:nvPicPr>
                    <pic:cNvPr descr="_images/Portal_main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6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26"/>
    <w:bookmarkStart w:id="28" w:name="release_1_0.xhtml#id14"/>
    <w:p>
      <w:pPr>
        <w:pStyle w:val="Compact"/>
      </w:pPr>
      <w:r>
        <w:drawing>
          <wp:inline>
            <wp:extent cx="5334000" cy="2639736"/>
            <wp:effectExtent b="0" l="0" r="0" t="0"/>
            <wp:docPr descr="_images/Portal_main_2.png" title="" id="1" name="Picture"/>
            <a:graphic>
              <a:graphicData uri="http://schemas.openxmlformats.org/drawingml/2006/picture">
                <pic:pic>
                  <pic:nvPicPr>
                    <pic:cNvPr descr="_images/Portal_main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9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28"/>
    <w:bookmarkEnd w:id="29"/>
    <w:bookmarkStart w:id="30" w:name="release_1_0.xhtml#id2"/>
    <w:p>
      <w:pPr>
        <w:pStyle w:val="Heading2"/>
      </w:pPr>
      <w:r>
        <w:t xml:space="preserve">1.2. Упорядочивайте входящий поток обращений для скорейшего их выполнения</w:t>
      </w:r>
    </w:p>
    <w:p>
      <w:pPr>
        <w:pStyle w:val="FirstParagraph"/>
      </w:pPr>
      <w:r>
        <w:t xml:space="preserve">Первичная обработка обращения:</w:t>
      </w:r>
    </w:p>
    <w:p>
      <w:pPr>
        <w:numPr>
          <w:numId w:val="1005"/>
          <w:ilvl w:val="0"/>
        </w:numPr>
      </w:pPr>
      <w:r>
        <w:t xml:space="preserve">Определение приоритета и категории обращения;</w:t>
      </w:r>
    </w:p>
    <w:p>
      <w:pPr>
        <w:numPr>
          <w:numId w:val="1005"/>
          <w:ilvl w:val="0"/>
        </w:numPr>
      </w:pPr>
      <w:r>
        <w:t xml:space="preserve">Выбор(подтверждение) услуги;</w:t>
      </w:r>
    </w:p>
    <w:p>
      <w:pPr>
        <w:numPr>
          <w:numId w:val="1005"/>
          <w:ilvl w:val="0"/>
        </w:numPr>
      </w:pPr>
      <w:r>
        <w:t xml:space="preserve">Автоматический расчет сроков исполнения согласно SLA;</w:t>
      </w:r>
    </w:p>
    <w:p>
      <w:pPr>
        <w:numPr>
          <w:numId w:val="1005"/>
          <w:ilvl w:val="0"/>
        </w:numPr>
      </w:pPr>
      <w:r>
        <w:t xml:space="preserve">Проверка на полноту предоставленной информации (запрос на доработку);</w:t>
      </w:r>
    </w:p>
    <w:bookmarkEnd w:id="30"/>
    <w:bookmarkStart w:id="31" w:name="release_1_0.xhtml#id3"/>
    <w:p>
      <w:pPr>
        <w:pStyle w:val="Heading2"/>
      </w:pPr>
      <w:r>
        <w:t xml:space="preserve">1.3. Определяйте дальнейшее движение обращения исходя из контекста</w:t>
      </w:r>
    </w:p>
    <w:p>
      <w:pPr>
        <w:numPr>
          <w:numId w:val="1006"/>
          <w:ilvl w:val="0"/>
        </w:numPr>
      </w:pPr>
      <w:r>
        <w:t xml:space="preserve">Возможность завершения обращения уже на Первой линии</w:t>
      </w:r>
    </w:p>
    <w:p>
      <w:pPr>
        <w:numPr>
          <w:numId w:val="1006"/>
          <w:ilvl w:val="0"/>
        </w:numPr>
      </w:pPr>
      <w:r>
        <w:t xml:space="preserve">Направление обращения на Вторую линию исходя из специфики, регионального распределения и других характеристик.</w:t>
      </w:r>
    </w:p>
    <w:bookmarkEnd w:id="31"/>
    <w:bookmarkStart w:id="34" w:name="release_1_0.xhtml#id4"/>
    <w:p>
      <w:pPr>
        <w:pStyle w:val="Heading2"/>
      </w:pPr>
      <w:r>
        <w:t xml:space="preserve">1.4. Структурируйте процесс исполнения обращения</w:t>
      </w:r>
    </w:p>
    <w:p>
      <w:pPr>
        <w:numPr>
          <w:numId w:val="1007"/>
          <w:ilvl w:val="0"/>
        </w:numPr>
      </w:pPr>
      <w:r>
        <w:t xml:space="preserve">Конфигурирование процесса согласно Вашим потребностям:</w:t>
      </w:r>
    </w:p>
    <w:p>
      <w:pPr>
        <w:numPr>
          <w:numId w:val="1007"/>
          <w:ilvl w:val="0"/>
        </w:numPr>
      </w:pPr>
      <w:r>
        <w:t xml:space="preserve">Возможность определения доступных статусов обращений и их характеристик;</w:t>
      </w:r>
    </w:p>
    <w:p>
      <w:pPr>
        <w:numPr>
          <w:numId w:val="1007"/>
          <w:ilvl w:val="0"/>
        </w:numPr>
      </w:pPr>
      <w:r>
        <w:t xml:space="preserve">Настройка специфичных маршрутов обращений и порядка их исполнения.</w:t>
      </w:r>
    </w:p>
    <w:p>
      <w:pPr>
        <w:pStyle w:val="FirstParagraph"/>
      </w:pPr>
      <w:r>
        <w:rPr>
          <w:b/>
        </w:rPr>
        <w:t xml:space="preserve">Исполнение обращения:</w:t>
      </w:r>
    </w:p>
    <w:p>
      <w:pPr>
        <w:numPr>
          <w:numId w:val="1008"/>
          <w:ilvl w:val="0"/>
        </w:numPr>
      </w:pPr>
      <w:r>
        <w:t xml:space="preserve">Распределение обращения между сотрудниками подразделения с учетом их текущей нагрузки;</w:t>
      </w:r>
    </w:p>
    <w:p>
      <w:pPr>
        <w:numPr>
          <w:numId w:val="1008"/>
          <w:ilvl w:val="0"/>
        </w:numPr>
      </w:pPr>
      <w:r>
        <w:t xml:space="preserve">Возможность приостановить исполнение обращения по причинам, не зависящим от исполнителя (например, «Ожидает выделения техники»);</w:t>
      </w:r>
    </w:p>
    <w:p>
      <w:pPr>
        <w:numPr>
          <w:numId w:val="1008"/>
          <w:ilvl w:val="0"/>
        </w:numPr>
      </w:pPr>
      <w:r>
        <w:t xml:space="preserve">Завершение обращения с указанием основных параметров завершения, а также прикреплением файлов;</w:t>
      </w:r>
    </w:p>
    <w:p>
      <w:pPr>
        <w:numPr>
          <w:numId w:val="1008"/>
          <w:ilvl w:val="0"/>
        </w:numPr>
      </w:pPr>
      <w:r>
        <w:t xml:space="preserve">Фиксация исторических данных обращения для дальнейшего формирования статистических отчетов.</w:t>
      </w:r>
    </w:p>
    <w:bookmarkStart w:id="33" w:name="release_1_0.xhtml#id15"/>
    <w:p>
      <w:pPr>
        <w:pStyle w:val="Compact"/>
      </w:pPr>
      <w:r>
        <w:drawing>
          <wp:inline>
            <wp:extent cx="5334000" cy="3387284"/>
            <wp:effectExtent b="0" l="0" r="0" t="0"/>
            <wp:docPr descr="_images/3_15.png" title="" id="1" name="Picture"/>
            <a:graphic>
              <a:graphicData uri="http://schemas.openxmlformats.org/drawingml/2006/picture">
                <pic:pic>
                  <pic:nvPicPr>
                    <pic:cNvPr descr="_images/3_1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87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33"/>
    <w:bookmarkEnd w:id="34"/>
    <w:bookmarkStart w:id="37" w:name="release_1_0.xhtml#id5"/>
    <w:p>
      <w:pPr>
        <w:pStyle w:val="Heading2"/>
      </w:pPr>
      <w:r>
        <w:t xml:space="preserve">1.5. Поддерживайте непрерывную связь с инициатором обращения</w:t>
      </w:r>
    </w:p>
    <w:p>
      <w:pPr>
        <w:numPr>
          <w:numId w:val="1009"/>
          <w:ilvl w:val="0"/>
        </w:numPr>
      </w:pPr>
      <w:r>
        <w:t xml:space="preserve">Оповещение клиента о статусе обращения посредством e-mail-уведомления;</w:t>
      </w:r>
    </w:p>
    <w:p>
      <w:pPr>
        <w:numPr>
          <w:numId w:val="1009"/>
          <w:ilvl w:val="0"/>
        </w:numPr>
      </w:pPr>
      <w:r>
        <w:t xml:space="preserve">Предоставление доступа к списку Моих обращений и их актуальному статусу через портал;</w:t>
      </w:r>
    </w:p>
    <w:p>
      <w:pPr>
        <w:numPr>
          <w:numId w:val="1009"/>
          <w:ilvl w:val="0"/>
        </w:numPr>
      </w:pPr>
      <w:r>
        <w:t xml:space="preserve">Получение дополнительной информации от инициатора по запросу через e-mail или портал;</w:t>
      </w:r>
    </w:p>
    <w:p>
      <w:pPr>
        <w:numPr>
          <w:numId w:val="1009"/>
          <w:ilvl w:val="0"/>
        </w:numPr>
      </w:pPr>
      <w:r>
        <w:t xml:space="preserve">Получение подтверждения завершения или направление инициатором обращения повторно.</w:t>
      </w:r>
    </w:p>
    <w:bookmarkStart w:id="36" w:name="release_1_0.xhtml#id16"/>
    <w:p>
      <w:pPr>
        <w:pStyle w:val="Compact"/>
      </w:pPr>
      <w:r>
        <w:drawing>
          <wp:inline>
            <wp:extent cx="5334000" cy="2963333"/>
            <wp:effectExtent b="0" l="0" r="0" t="0"/>
            <wp:docPr descr="_images/4_2.png" title="" id="1" name="Picture"/>
            <a:graphic>
              <a:graphicData uri="http://schemas.openxmlformats.org/drawingml/2006/picture">
                <pic:pic>
                  <pic:nvPicPr>
                    <pic:cNvPr descr="_images/4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633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36"/>
    <w:bookmarkEnd w:id="37"/>
    <w:bookmarkStart w:id="40" w:name="release_1_0.xhtml#id6"/>
    <w:p>
      <w:pPr>
        <w:pStyle w:val="Heading2"/>
      </w:pPr>
      <w:r>
        <w:t xml:space="preserve">1.6. Контролируйте соблюдение регламента и загрузку ресурсов</w:t>
      </w:r>
    </w:p>
    <w:p>
      <w:pPr>
        <w:numPr>
          <w:numId w:val="1010"/>
          <w:ilvl w:val="0"/>
        </w:numPr>
      </w:pPr>
      <w:r>
        <w:t xml:space="preserve">Аналитика по нарушениям регламента в процессе оказания услуг;</w:t>
      </w:r>
    </w:p>
    <w:p>
      <w:pPr>
        <w:numPr>
          <w:numId w:val="1010"/>
          <w:ilvl w:val="0"/>
        </w:numPr>
      </w:pPr>
      <w:r>
        <w:t xml:space="preserve">Аналитика по производительности подразделений и отдельных исполнителей;</w:t>
      </w:r>
    </w:p>
    <w:p>
      <w:pPr>
        <w:numPr>
          <w:numId w:val="1010"/>
          <w:ilvl w:val="0"/>
        </w:numPr>
      </w:pPr>
      <w:r>
        <w:t xml:space="preserve">Аналитика по пиковой загрузке, периодическим и сезонным колебаниям для прогнозирования загрузки ресурсов;</w:t>
      </w:r>
    </w:p>
    <w:bookmarkStart w:id="39" w:name="release_1_0.xhtml#id17"/>
    <w:p>
      <w:pPr>
        <w:pStyle w:val="Compact"/>
      </w:pPr>
      <w:r>
        <w:drawing>
          <wp:inline>
            <wp:extent cx="5334000" cy="2725472"/>
            <wp:effectExtent b="0" l="0" r="0" t="0"/>
            <wp:docPr descr="_images/5_15.png" title="" id="1" name="Picture"/>
            <a:graphic>
              <a:graphicData uri="http://schemas.openxmlformats.org/drawingml/2006/picture">
                <pic:pic>
                  <pic:nvPicPr>
                    <pic:cNvPr descr="_images/5_1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5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</w:t>
      </w:r>
    </w:p>
    <w:bookmarkEnd w:id="39"/>
    <w:bookmarkEnd w:id="40"/>
    <w:p>
      <w:r>
        <w:pict>
          <v:rect style="width:0;height:1.5pt" o:hralign="center" o:hrstd="t" o:hr="t"/>
        </w:pict>
      </w:r>
    </w:p>
    <w:bookmarkStart w:id="45" w:name="release_1_0.xhtml#id7"/>
    <w:p>
      <w:pPr>
        <w:pStyle w:val="Heading2"/>
      </w:pPr>
      <w:r>
        <w:t xml:space="preserve">1.7. Полезные ссылки:</w:t>
      </w:r>
    </w:p>
    <w:p>
      <w:pPr>
        <w:numPr>
          <w:numId w:val="1011"/>
          <w:ilvl w:val="0"/>
        </w:numPr>
      </w:pPr>
      <w:r>
        <w:t xml:space="preserve">Доступ к</w:t>
      </w:r>
      <w:r>
        <w:t xml:space="preserve"> </w:t>
      </w:r>
      <w:hyperlink r:id="rId41">
        <w:r>
          <w:rPr>
            <w:rStyle w:val="Hyperlink"/>
          </w:rPr>
          <w:t xml:space="preserve">демо-стенду</w:t>
        </w:r>
      </w:hyperlink>
      <w:r>
        <w:t xml:space="preserve"> </w:t>
      </w:r>
      <w:r>
        <w:t xml:space="preserve">[http://itsm.arta.pro/Synergy]</w:t>
      </w:r>
      <w:r>
        <w:t xml:space="preserve">.</w:t>
      </w:r>
    </w:p>
    <w:p>
      <w:pPr>
        <w:pStyle w:val="FirstParagraph"/>
      </w:pPr>
      <w:r>
        <w:t xml:space="preserve">Логин: Оператор Пароль: 1</w:t>
      </w:r>
    </w:p>
    <w:p>
      <w:pPr>
        <w:pStyle w:val="BodyText"/>
      </w:pPr>
      <w:r>
        <w:t xml:space="preserve">Логин: Исполнитель Пароль: 1</w:t>
      </w:r>
    </w:p>
    <w:p>
      <w:pPr>
        <w:numPr>
          <w:numId w:val="1012"/>
          <w:ilvl w:val="0"/>
        </w:numPr>
      </w:pPr>
      <w:r>
        <w:t xml:space="preserve">Доступ к</w:t>
      </w:r>
      <w:r>
        <w:t xml:space="preserve"> </w:t>
      </w:r>
      <w:hyperlink r:id="rId42">
        <w:r>
          <w:rPr>
            <w:rStyle w:val="Hyperlink"/>
          </w:rPr>
          <w:t xml:space="preserve">демо-порталу</w:t>
        </w:r>
      </w:hyperlink>
      <w:r>
        <w:t xml:space="preserve"> </w:t>
      </w:r>
      <w:r>
        <w:t xml:space="preserve">[http://itsm.arta.pro/itsm]</w:t>
      </w:r>
      <w:r>
        <w:t xml:space="preserve">.</w:t>
      </w:r>
    </w:p>
    <w:p>
      <w:pPr>
        <w:pStyle w:val="FirstParagraph"/>
      </w:pPr>
      <w:r>
        <w:t xml:space="preserve">Логин: Инициатор Пароль: 1</w:t>
      </w:r>
    </w:p>
    <w:p>
      <w:pPr>
        <w:numPr>
          <w:numId w:val="1013"/>
          <w:ilvl w:val="0"/>
        </w:numPr>
      </w:pPr>
      <w:hyperlink r:id="rId43">
        <w:r>
          <w:rPr>
            <w:rStyle w:val="Hyperlink"/>
          </w:rPr>
          <w:t xml:space="preserve">Руководство пользователя</w:t>
        </w:r>
      </w:hyperlink>
      <w:r>
        <w:t xml:space="preserve"> </w:t>
      </w:r>
      <w:r>
        <w:t xml:space="preserve">[http://rtd.lan.arta.kz/docs/synergy-itsm-user-manual/ru/v1.0/]</w:t>
      </w:r>
      <w:r>
        <w:t xml:space="preserve">.</w:t>
      </w:r>
    </w:p>
    <w:p>
      <w:pPr>
        <w:numPr>
          <w:numId w:val="1014"/>
          <w:ilvl w:val="0"/>
        </w:numPr>
      </w:pPr>
      <w:hyperlink r:id="rId44">
        <w:r>
          <w:rPr>
            <w:rStyle w:val="Hyperlink"/>
          </w:rPr>
          <w:t xml:space="preserve">Руководство по внедрению</w:t>
        </w:r>
      </w:hyperlink>
      <w:r>
        <w:t xml:space="preserve"> </w:t>
      </w:r>
      <w:r>
        <w:t xml:space="preserve">[http://rtd.lan.arta.kz/docs/itsm-custom-maual/ru/v1.0/]</w:t>
      </w:r>
      <w:r>
        <w:t xml:space="preserve">.</w:t>
      </w:r>
    </w:p>
    <w:bookmarkEnd w:id="45"/>
    <w:bookmarkEnd w:id="46"/>
    <w:p>
      <w:pPr>
        <w:pStyle w:val="FirstParagraph"/>
      </w:pPr>
      <w:bookmarkStart w:id="47" w:name="genindex.xhtml"/>
      <w:bookmarkEnd w:id="47"/>
    </w:p>
    <w:p>
      <w:pPr>
        <w:pStyle w:val="Heading1"/>
      </w:pPr>
      <w:bookmarkStart w:id="48" w:name="genindex.xhtml#index"/>
      <w:r>
        <w:t xml:space="preserve">Алфавитный указатель</w:t>
      </w:r>
      <w:bookmarkEnd w:id="48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3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4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25" Target="media/rId25.png" /><Relationship Type="http://schemas.openxmlformats.org/officeDocument/2006/relationships/image" Id="rId27" Target="media/rId27.png" /><Relationship Type="http://schemas.openxmlformats.org/officeDocument/2006/relationships/hyperlink" Id="rId41" Target="http://itsm.arta.pro/Synergy" TargetMode="External" /><Relationship Type="http://schemas.openxmlformats.org/officeDocument/2006/relationships/hyperlink" Id="rId42" Target="http://itsm.arta.pro/itsm" TargetMode="External" /><Relationship Type="http://schemas.openxmlformats.org/officeDocument/2006/relationships/hyperlink" Id="rId44" Target="http://rtd.lan.arta.kz/docs/itsm-custom-maual/ru/v1.0/" TargetMode="External" /><Relationship Type="http://schemas.openxmlformats.org/officeDocument/2006/relationships/hyperlink" Id="rId43" Target="http://rtd.lan.arta.kz/docs/synergy-itsm-user-manual/ru/v1.0/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41" Target="http://itsm.arta.pro/Synergy" TargetMode="External" /><Relationship Type="http://schemas.openxmlformats.org/officeDocument/2006/relationships/hyperlink" Id="rId42" Target="http://itsm.arta.pro/itsm" TargetMode="External" /><Relationship Type="http://schemas.openxmlformats.org/officeDocument/2006/relationships/hyperlink" Id="rId44" Target="http://rtd.lan.arta.kz/docs/itsm-custom-maual/ru/v1.0/" TargetMode="External" /><Relationship Type="http://schemas.openxmlformats.org/officeDocument/2006/relationships/hyperlink" Id="rId43" Target="http://rtd.lan.arta.kz/docs/synergy-itsm-user-manual/ru/v1.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Релизы Synergy ITSM 0.1-alpha</dc:title>
  <dc:creator>unknown</dc:creator>
  <cp:keywords/>
  <dcterms:created xsi:type="dcterms:W3CDTF">2019-04-01T06:11:04Z</dcterms:created>
  <dcterms:modified xsi:type="dcterms:W3CDTF">2019-04-01T06:11:04Z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