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Руководство по внедрению Synergy Workflow 2.18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2023-08-04T06:23:57Z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1. Назначение документа</w:t>
        </w:r>
      </w:hyperlink>
    </w:p>
    <w:p>
      <w:pPr>
        <w:pStyle w:val="Compact"/>
        <w:numPr>
          <w:numId w:val="1001"/>
          <w:ilvl w:val="0"/>
        </w:numPr>
      </w:pPr>
      <w:hyperlink w:anchor="methodology.xhtml">
        <w:r>
          <w:rPr>
            <w:rStyle w:val="Hyperlink"/>
          </w:rPr>
          <w:t xml:space="preserve">2. Методология внедрения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2">
        <w:r>
          <w:rPr>
            <w:rStyle w:val="Hyperlink"/>
          </w:rPr>
          <w:t xml:space="preserve">2.1. Получение ресурсов (боевого и тестового стенда)</w:t>
        </w:r>
      </w:hyperlink>
    </w:p>
    <w:p>
      <w:pPr>
        <w:pStyle w:val="Compact"/>
        <w:numPr>
          <w:numId w:val="1002"/>
          <w:ilvl w:val="1"/>
        </w:numPr>
      </w:pPr>
      <w:hyperlink w:anchor="methodology.xhtml#id3">
        <w:r>
          <w:rPr>
            <w:rStyle w:val="Hyperlink"/>
          </w:rPr>
          <w:t xml:space="preserve">2.2. Установка и настройка системы</w:t>
        </w:r>
      </w:hyperlink>
    </w:p>
    <w:p>
      <w:pPr>
        <w:pStyle w:val="Compact"/>
        <w:numPr>
          <w:numId w:val="1002"/>
          <w:ilvl w:val="1"/>
        </w:numPr>
      </w:pPr>
      <w:hyperlink w:anchor="methodology.xhtml#id5">
        <w:r>
          <w:rPr>
            <w:rStyle w:val="Hyperlink"/>
          </w:rPr>
          <w:t xml:space="preserve">2.3. Кастомизация процессов по факту выявленных пожеланий</w:t>
        </w:r>
      </w:hyperlink>
    </w:p>
    <w:p>
      <w:pPr>
        <w:pStyle w:val="Compact"/>
        <w:numPr>
          <w:numId w:val="1002"/>
          <w:ilvl w:val="1"/>
        </w:numPr>
      </w:pPr>
      <w:hyperlink w:anchor="methodology.xhtml#id8">
        <w:r>
          <w:rPr>
            <w:rStyle w:val="Hyperlink"/>
          </w:rPr>
          <w:t xml:space="preserve">2.4. Обучение сотрудников работе в системе</w:t>
        </w:r>
      </w:hyperlink>
    </w:p>
    <w:p>
      <w:pPr>
        <w:pStyle w:val="Compact"/>
        <w:numPr>
          <w:numId w:val="1002"/>
          <w:ilvl w:val="1"/>
        </w:numPr>
      </w:pPr>
      <w:hyperlink w:anchor="methodology.xhtml#id9">
        <w:r>
          <w:rPr>
            <w:rStyle w:val="Hyperlink"/>
          </w:rPr>
          <w:t xml:space="preserve">2.5. Опытная эксплуатация</w:t>
        </w:r>
      </w:hyperlink>
    </w:p>
    <w:p>
      <w:pPr>
        <w:pStyle w:val="Compact"/>
        <w:numPr>
          <w:numId w:val="1002"/>
          <w:ilvl w:val="1"/>
        </w:numPr>
      </w:pPr>
      <w:hyperlink w:anchor="methodology.xhtml#id10">
        <w:r>
          <w:rPr>
            <w:rStyle w:val="Hyperlink"/>
          </w:rPr>
          <w:t xml:space="preserve">2.6. Запуск в промышленную эксплуатацию</w:t>
        </w:r>
      </w:hyperlink>
    </w:p>
    <w:p>
      <w:pPr>
        <w:pStyle w:val="Compact"/>
        <w:numPr>
          <w:numId w:val="1001"/>
          <w:ilvl w:val="0"/>
        </w:numPr>
      </w:pPr>
      <w:hyperlink w:anchor="install-manual.xhtml">
        <w:r>
          <w:rPr>
            <w:rStyle w:val="Hyperlink"/>
          </w:rPr>
          <w:t xml:space="preserve">3. Инструкция по установке Arta Synergy Workflow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1">
        <w:r>
          <w:rPr>
            <w:rStyle w:val="Hyperlink"/>
          </w:rPr>
          <w:t xml:space="preserve">3.1. Предварительные требования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3">
        <w:r>
          <w:rPr>
            <w:rStyle w:val="Hyperlink"/>
          </w:rPr>
          <w:t xml:space="preserve">3.2. Подключение репозиториев</w:t>
        </w:r>
      </w:hyperlink>
    </w:p>
    <w:p>
      <w:pPr>
        <w:pStyle w:val="Compact"/>
        <w:numPr>
          <w:numId w:val="1003"/>
          <w:ilvl w:val="1"/>
        </w:numPr>
      </w:pPr>
      <w:hyperlink w:anchor="install-manual.xhtml#id4">
        <w:r>
          <w:rPr>
            <w:rStyle w:val="Hyperlink"/>
          </w:rPr>
          <w:t xml:space="preserve">3.3. Установка приложения</w:t>
        </w:r>
      </w:hyperlink>
    </w:p>
    <w:p>
      <w:pPr>
        <w:pStyle w:val="Compact"/>
        <w:numPr>
          <w:numId w:val="1001"/>
          <w:ilvl w:val="0"/>
        </w:numPr>
      </w:pPr>
      <w:hyperlink w:anchor="First_configuration.xhtml">
        <w:r>
          <w:rPr>
            <w:rStyle w:val="Hyperlink"/>
          </w:rPr>
          <w:t xml:space="preserve">4. Инструкция по первичной настройке</w:t>
        </w:r>
      </w:hyperlink>
    </w:p>
    <w:p>
      <w:pPr>
        <w:pStyle w:val="Compact"/>
        <w:numPr>
          <w:numId w:val="1001"/>
          <w:ilvl w:val="0"/>
        </w:numPr>
      </w:pPr>
      <w:hyperlink w:anchor="Product_structure.xhtml">
        <w:r>
          <w:rPr>
            <w:rStyle w:val="Hyperlink"/>
          </w:rPr>
          <w:t xml:space="preserve">5. Структура продукта</w:t>
        </w:r>
      </w:hyperlink>
    </w:p>
    <w:p>
      <w:pPr>
        <w:pStyle w:val="Compact"/>
        <w:numPr>
          <w:numId w:val="1004"/>
          <w:ilvl w:val="1"/>
        </w:numPr>
      </w:pPr>
      <w:hyperlink w:anchor="Product_structure.xhtml#id2">
        <w:r>
          <w:rPr>
            <w:rStyle w:val="Hyperlink"/>
          </w:rPr>
          <w:t xml:space="preserve">5.1. Как все устроено</w:t>
        </w:r>
      </w:hyperlink>
    </w:p>
    <w:p>
      <w:pPr>
        <w:pStyle w:val="Compact"/>
        <w:numPr>
          <w:numId w:val="1004"/>
          <w:ilvl w:val="1"/>
        </w:numPr>
      </w:pPr>
      <w:hyperlink w:anchor="Product_structure.xhtml#id3">
        <w:r>
          <w:rPr>
            <w:rStyle w:val="Hyperlink"/>
          </w:rPr>
          <w:t xml:space="preserve">5.2. Список блокирующих процессов</w:t>
        </w:r>
      </w:hyperlink>
    </w:p>
    <w:p>
      <w:pPr>
        <w:pStyle w:val="Compact"/>
        <w:numPr>
          <w:numId w:val="1001"/>
          <w:ilvl w:val="0"/>
        </w:numPr>
      </w:pPr>
      <w:hyperlink w:anchor="sdecAdapter.xhtml">
        <w:r>
          <w:rPr>
            <w:rStyle w:val="Hyperlink"/>
          </w:rPr>
          <w:t xml:space="preserve">6. Инструкция по установке SdecAdapter (для интеграции с ЕСЭДО)</w:t>
        </w:r>
      </w:hyperlink>
    </w:p>
    <w:p>
      <w:pPr>
        <w:pStyle w:val="Compact"/>
        <w:numPr>
          <w:numId w:val="1005"/>
          <w:ilvl w:val="1"/>
        </w:numPr>
      </w:pPr>
      <w:hyperlink w:anchor="sdecAdapter.xhtml#id1">
        <w:r>
          <w:rPr>
            <w:rStyle w:val="Hyperlink"/>
          </w:rPr>
          <w:t xml:space="preserve">6.1. Подключение репозиториев</w:t>
        </w:r>
      </w:hyperlink>
    </w:p>
    <w:p>
      <w:pPr>
        <w:pStyle w:val="Compact"/>
        <w:numPr>
          <w:numId w:val="1005"/>
          <w:ilvl w:val="1"/>
        </w:numPr>
      </w:pPr>
      <w:hyperlink w:anchor="sdecAdapter.xhtml#id2">
        <w:r>
          <w:rPr>
            <w:rStyle w:val="Hyperlink"/>
          </w:rPr>
          <w:t xml:space="preserve">6.2. Установка приложения</w:t>
        </w:r>
      </w:hyperlink>
    </w:p>
    <w:p>
      <w:pPr>
        <w:pStyle w:val="Compact"/>
        <w:numPr>
          <w:numId w:val="1005"/>
          <w:ilvl w:val="1"/>
        </w:numPr>
      </w:pPr>
      <w:hyperlink w:anchor="sdecAdapter.xhtml#id3">
        <w:r>
          <w:rPr>
            <w:rStyle w:val="Hyperlink"/>
          </w:rPr>
          <w:t xml:space="preserve">6.3. Первичная настройка</w:t>
        </w:r>
      </w:hyperlink>
    </w:p>
    <w:bookmarkEnd w:id="21"/>
    <w:p>
      <w:pPr>
        <w:pStyle w:val="FirstParagraph"/>
      </w:pPr>
      <w:bookmarkStart w:id="22" w:name="goals.xhtml"/>
      <w:bookmarkEnd w:id="22"/>
    </w:p>
    <w:bookmarkStart w:id="23" w:name="goals.xhtml#id1"/>
    <w:p>
      <w:pPr>
        <w:pStyle w:val="Heading1"/>
      </w:pPr>
      <w:r>
        <w:t xml:space="preserve">1. Назначение документа</w:t>
      </w:r>
    </w:p>
    <w:p>
      <w:pPr>
        <w:pStyle w:val="FirstParagraph"/>
      </w:pPr>
      <w:r>
        <w:t xml:space="preserve">Целью создания данного документа является предоставление информации о конфигурации продукта, в частности, предоставление детализированного описания:</w:t>
      </w:r>
    </w:p>
    <w:p>
      <w:pPr>
        <w:pStyle w:val="BlockText"/>
        <w:numPr>
          <w:numId w:val="1006"/>
          <w:ilvl w:val="0"/>
        </w:numPr>
      </w:pPr>
      <w:r>
        <w:t xml:space="preserve">созданных объектов</w:t>
      </w:r>
    </w:p>
    <w:p>
      <w:pPr>
        <w:pStyle w:val="BlockText"/>
        <w:numPr>
          <w:numId w:val="1006"/>
          <w:ilvl w:val="0"/>
        </w:numPr>
      </w:pPr>
      <w:r>
        <w:t xml:space="preserve">произведенных настроек</w:t>
      </w:r>
    </w:p>
    <w:p>
      <w:pPr>
        <w:pStyle w:val="BlockText"/>
        <w:numPr>
          <w:numId w:val="1006"/>
          <w:ilvl w:val="0"/>
        </w:numPr>
      </w:pPr>
      <w:r>
        <w:t xml:space="preserve">предполагаемого процесса работы в системе согласно назначению продукта.</w:t>
      </w:r>
    </w:p>
    <w:p>
      <w:pPr>
        <w:pStyle w:val="FirstParagraph"/>
      </w:pPr>
      <w:r>
        <w:t xml:space="preserve">Данный документ также может содержать дополнительные инструкции по возможным сценариям кастомизации существующей функциональности, советы и рекомендации.</w:t>
      </w:r>
    </w:p>
    <w:bookmarkEnd w:id="23"/>
    <w:p>
      <w:pPr>
        <w:pStyle w:val="BodyText"/>
      </w:pPr>
      <w:bookmarkStart w:id="24" w:name="methodology.xhtml"/>
      <w:bookmarkEnd w:id="24"/>
    </w:p>
    <w:bookmarkStart w:id="34" w:name="methodology.xhtml#id1"/>
    <w:p>
      <w:pPr>
        <w:pStyle w:val="Heading1"/>
      </w:pPr>
      <w:r>
        <w:t xml:space="preserve">2. Методология внедрения</w:t>
      </w:r>
    </w:p>
    <w:bookmarkStart w:id="25" w:name="methodology.xhtml#id2"/>
    <w:p>
      <w:pPr>
        <w:pStyle w:val="Heading2"/>
      </w:pPr>
      <w:r>
        <w:t xml:space="preserve">2.1. Получение ресурсов (боевого и тестового стенда)</w:t>
      </w:r>
    </w:p>
    <w:p>
      <w:pPr>
        <w:pStyle w:val="FirstParagraph"/>
      </w:pPr>
      <w:r>
        <w:t xml:space="preserve">Характеристики серверов:</w:t>
      </w:r>
    </w:p>
    <w:p>
      <w:pPr>
        <w:numPr>
          <w:numId w:val="1007"/>
          <w:ilvl w:val="0"/>
        </w:numPr>
      </w:pPr>
      <w:r>
        <w:t xml:space="preserve">Хранилище Jackrabbit</w:t>
      </w:r>
    </w:p>
    <w:p>
      <w:pPr>
        <w:numPr>
          <w:numId w:val="1007"/>
          <w:ilvl w:val="0"/>
        </w:numPr>
      </w:pPr>
      <w:r>
        <w:t xml:space="preserve">Поисковые индексы Lucene</w:t>
      </w:r>
    </w:p>
    <w:p>
      <w:pPr>
        <w:numPr>
          <w:numId w:val="1007"/>
          <w:ilvl w:val="0"/>
        </w:numPr>
      </w:pPr>
      <w:r>
        <w:t xml:space="preserve">16 Гб ОЗУ</w:t>
      </w:r>
    </w:p>
    <w:p>
      <w:pPr>
        <w:numPr>
          <w:numId w:val="1007"/>
          <w:ilvl w:val="0"/>
        </w:numPr>
      </w:pPr>
      <w:r>
        <w:t xml:space="preserve">Debian GNU/Linux (jessie, wheezy)</w:t>
      </w:r>
    </w:p>
    <w:p>
      <w:pPr>
        <w:numPr>
          <w:numId w:val="1007"/>
          <w:ilvl w:val="0"/>
        </w:numPr>
      </w:pPr>
      <w:r>
        <w:t xml:space="preserve">CPU 8-core</w:t>
      </w:r>
    </w:p>
    <w:p>
      <w:pPr>
        <w:numPr>
          <w:numId w:val="1007"/>
          <w:ilvl w:val="0"/>
        </w:numPr>
      </w:pPr>
      <w:r>
        <w:t xml:space="preserve">HDD/SSD с 10Гб свободного дискового пространства.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развернуть тестовый стенд, полностью дублирующий конфигурацию системы боевого сервера,</w:t>
      </w:r>
      <w:r>
        <w:t xml:space="preserve"> </w:t>
      </w:r>
      <w:r>
        <w:t xml:space="preserve">для диагностики и воспроизведения потенциальных проблем, тестирования обновления и изменений конфигурации.</w:t>
      </w:r>
    </w:p>
    <w:bookmarkEnd w:id="25"/>
    <w:bookmarkStart w:id="27" w:name="methodology.xhtml#id3"/>
    <w:p>
      <w:pPr>
        <w:pStyle w:val="Heading2"/>
      </w:pPr>
      <w:r>
        <w:t xml:space="preserve">2.2. Установка и настройка системы</w:t>
      </w:r>
    </w:p>
    <w:p>
      <w:pPr>
        <w:pStyle w:val="FirstParagraph"/>
      </w:pPr>
      <w:r>
        <w:t xml:space="preserve">Воспользуйтесь инструкциями данного документа для установки (</w:t>
      </w:r>
      <w:hyperlink r:id="rId2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[http://rtd.lan.arta.kz/docs/workflow-custom-manual/ru/latest/install-manual.html]</w:t>
      </w:r>
      <w:r>
        <w:t xml:space="preserve">)</w:t>
      </w:r>
      <w:r>
        <w:t xml:space="preserve"> </w:t>
      </w:r>
      <w:r>
        <w:t xml:space="preserve">системы на боевом и тестовом стендах.</w:t>
      </w:r>
    </w:p>
    <w:bookmarkEnd w:id="27"/>
    <w:bookmarkStart w:id="30" w:name="methodology.xhtml#id5"/>
    <w:p>
      <w:pPr>
        <w:pStyle w:val="Heading2"/>
      </w:pPr>
      <w:r>
        <w:t xml:space="preserve">2.3. Кастомизация процессов по факту выявленных пожеланий</w:t>
      </w:r>
    </w:p>
    <w:p>
      <w:pPr>
        <w:numPr>
          <w:numId w:val="1008"/>
          <w:ilvl w:val="0"/>
        </w:numPr>
      </w:pPr>
      <w:r>
        <w:t xml:space="preserve">Для выявления пожеланий по изменению стандартной конфигурации продукта, устанавливаемой по-умолчанию, рекомендуется провести демонстрацию всем заинтересованным лицам проекта, в том числе, конечным пользователем: сотрудникам первой и второй линии.</w:t>
      </w:r>
    </w:p>
    <w:p>
      <w:pPr>
        <w:numPr>
          <w:numId w:val="1008"/>
          <w:ilvl w:val="0"/>
        </w:numPr>
      </w:pPr>
      <w:r>
        <w:t xml:space="preserve">Все пожелания/замечания к продукту должны быть задокументированы и проанализированы на сложность и сроки адаптации продукта под данные требования.</w:t>
      </w:r>
    </w:p>
    <w:p>
      <w:pPr>
        <w:numPr>
          <w:numId w:val="1008"/>
          <w:ilvl w:val="0"/>
        </w:numPr>
      </w:pPr>
      <w:r>
        <w:t xml:space="preserve">В качестве вспомогательного инструмента к определению необходимых настроек в системе для реализации тех или иных пожеланий, рекомендуется ознакомиться со</w:t>
      </w:r>
      <w:r>
        <w:t xml:space="preserve"> </w:t>
      </w:r>
      <w:hyperlink r:id="rId28">
        <w:r>
          <w:rPr>
            <w:rStyle w:val="Hyperlink"/>
          </w:rPr>
          <w:t xml:space="preserve">Структурой продукта</w:t>
        </w:r>
      </w:hyperlink>
      <w:r>
        <w:t xml:space="preserve"> </w:t>
      </w:r>
      <w:r>
        <w:t xml:space="preserve">[http://rtd.lan.arta.kz/docs/workflow-custom-manual/ru/latest/Product_structure.html]</w:t>
      </w:r>
      <w:r>
        <w:t xml:space="preserve">, а также</w:t>
      </w:r>
      <w:r>
        <w:t xml:space="preserve"> </w:t>
      </w:r>
      <w:hyperlink r:id="rId29">
        <w:r>
          <w:rPr>
            <w:rStyle w:val="Hyperlink"/>
          </w:rPr>
          <w:t xml:space="preserve">Руководством разработчика</w:t>
        </w:r>
      </w:hyperlink>
      <w:r>
        <w:t xml:space="preserve"> </w:t>
      </w:r>
      <w:r>
        <w:t xml:space="preserve">[http://rtd.lan.arta.kz/docs/guide/ru/minsky/]</w:t>
      </w:r>
    </w:p>
    <w:p>
      <w:pPr>
        <w:pStyle w:val="FirstParagraph"/>
      </w:pPr>
      <w:r>
        <w:t xml:space="preserve">Предупреждение</w:t>
      </w:r>
    </w:p>
    <w:p>
      <w:pPr>
        <w:pStyle w:val="BodyText"/>
      </w:pPr>
      <w:r>
        <w:t xml:space="preserve">Настоятельно рекомендуем провести полное тестирование всех процессов, после произведения настроек конфигурации.</w:t>
      </w:r>
    </w:p>
    <w:bookmarkEnd w:id="30"/>
    <w:bookmarkStart w:id="31" w:name="methodology.xhtml#id8"/>
    <w:p>
      <w:pPr>
        <w:pStyle w:val="Heading2"/>
      </w:pPr>
      <w:r>
        <w:t xml:space="preserve">2.4. Обучение сотрудников работе в системе</w:t>
      </w:r>
    </w:p>
    <w:p>
      <w:pPr>
        <w:numPr>
          <w:numId w:val="1009"/>
          <w:ilvl w:val="0"/>
        </w:numPr>
      </w:pPr>
      <w:r>
        <w:t xml:space="preserve">Все сотрудники организации, которым в рамках проекта предполагается обучение, могут быть объединены в группы согласно осуществляемым ими ролям (канцелярия, отдел кадров, исполнители, руководители и т.д.)</w:t>
      </w:r>
    </w:p>
    <w:p>
      <w:pPr>
        <w:numPr>
          <w:numId w:val="1009"/>
          <w:ilvl w:val="0"/>
        </w:numPr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 оргстукртуе компании и прочей специфики проекта.</w:t>
      </w:r>
    </w:p>
    <w:p>
      <w:pPr>
        <w:numPr>
          <w:numId w:val="1009"/>
          <w:ilvl w:val="0"/>
        </w:numPr>
      </w:pPr>
      <w:r>
        <w:t xml:space="preserve">В первую очередь, должны быть обучены сотрудники, исполняющие основные роли в процессах, попадающих под опытную эксплуатацию (см. Шаг 6)</w:t>
      </w:r>
    </w:p>
    <w:bookmarkEnd w:id="31"/>
    <w:bookmarkStart w:id="32" w:name="methodology.xhtml#id9"/>
    <w:p>
      <w:pPr>
        <w:pStyle w:val="Heading2"/>
      </w:pPr>
      <w:r>
        <w:t xml:space="preserve">2.5. Опытная эксплуатация</w:t>
      </w:r>
    </w:p>
    <w:p>
      <w:pPr>
        <w:numPr>
          <w:numId w:val="1010"/>
          <w:ilvl w:val="0"/>
        </w:numPr>
      </w:pPr>
      <w:r>
        <w:t xml:space="preserve">Процесс опытной эксплуатации представляет собой имитацию полноценной работы системы в боевом режиме, но в меньших масштабах. Это может быть прогон основных боевых процессов на выделенном подразделении или на определенной категории документов.</w:t>
      </w:r>
    </w:p>
    <w:p>
      <w:pPr>
        <w:numPr>
          <w:numId w:val="1010"/>
          <w:ilvl w:val="0"/>
        </w:numPr>
      </w:pPr>
      <w:r>
        <w:t xml:space="preserve">Продолжительность процесса опытной эксплуатации зависит от масштабов проекта и количество внедряемых одновременно процессов.</w:t>
      </w:r>
    </w:p>
    <w:p>
      <w:pPr>
        <w:numPr>
          <w:numId w:val="1010"/>
          <w:ilvl w:val="0"/>
        </w:numPr>
      </w:pPr>
      <w:r>
        <w:t xml:space="preserve">Результатом опытной эксплуатации должен являться подтвержденный всеми заинтересованными сторонами факт готовности системы к использованию в промышленном режиме.</w:t>
      </w:r>
    </w:p>
    <w:p>
      <w:pPr>
        <w:numPr>
          <w:numId w:val="1010"/>
          <w:ilvl w:val="0"/>
        </w:numPr>
      </w:pPr>
      <w:r>
        <w:t xml:space="preserve">В случае выявления замечаний в ходе опытной эксплуатации, должны быть произведены соответствующие настройки в системе и измененные процессы должны быть протестированы повторно.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Рекомендуем адаптировать руководство пользователя, представленное по-умолчанию, согласно произведенным изменениям конфигурации,</w:t>
      </w:r>
      <w:r>
        <w:t xml:space="preserve"> </w:t>
      </w:r>
      <w:r>
        <w:t xml:space="preserve">оргстукртуе компании и прочей специфики проекта.</w:t>
      </w:r>
    </w:p>
    <w:bookmarkEnd w:id="32"/>
    <w:bookmarkStart w:id="33" w:name="methodology.xhtml#id10"/>
    <w:p>
      <w:pPr>
        <w:pStyle w:val="Heading2"/>
      </w:pPr>
      <w:r>
        <w:t xml:space="preserve">2.6. Запуск в промышленную эксплуатацию</w:t>
      </w:r>
    </w:p>
    <w:bookmarkEnd w:id="33"/>
    <w:bookmarkEnd w:id="34"/>
    <w:p>
      <w:pPr>
        <w:pStyle w:val="FirstParagraph"/>
      </w:pPr>
      <w:bookmarkStart w:id="35" w:name="install-manual.xhtml"/>
      <w:bookmarkEnd w:id="35"/>
    </w:p>
    <w:bookmarkStart w:id="42" w:name="install-manual.xhtml#arta-synergy-workflow"/>
    <w:p>
      <w:pPr>
        <w:pStyle w:val="Heading1"/>
      </w:pPr>
      <w:r>
        <w:t xml:space="preserve">3. Инструкция по установке Arta Synergy Workflow</w:t>
      </w:r>
    </w:p>
    <w:bookmarkStart w:id="37" w:name="install-manual.xhtml#id1"/>
    <w:p>
      <w:pPr>
        <w:pStyle w:val="Heading2"/>
      </w:pPr>
      <w:r>
        <w:t xml:space="preserve">3.1. Предварительные требования</w:t>
      </w:r>
    </w:p>
    <w:p>
      <w:pPr>
        <w:pStyle w:val="FirstParagraph"/>
      </w:pPr>
      <w:r>
        <w:t xml:space="preserve">Важно! Для работы системы требуется:</w:t>
      </w:r>
    </w:p>
    <w:p>
      <w:pPr>
        <w:numPr>
          <w:numId w:val="1011"/>
          <w:ilvl w:val="0"/>
        </w:numPr>
      </w:pPr>
      <w:r>
        <w:t xml:space="preserve">установить Arta Synergy 4.1 minsky (</w:t>
      </w:r>
      <w:hyperlink r:id="rId36">
        <w:r>
          <w:rPr>
            <w:rStyle w:val="Hyperlink"/>
          </w:rPr>
          <w:t xml:space="preserve">инструкция по установке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)</w:t>
      </w:r>
    </w:p>
    <w:p>
      <w:pPr>
        <w:numPr>
          <w:numId w:val="1011"/>
          <w:ilvl w:val="0"/>
        </w:numPr>
      </w:pPr>
      <w:r>
        <w:t xml:space="preserve">в подсистеме администрирования обновить БД и процессы.</w:t>
      </w:r>
    </w:p>
    <w:bookmarkEnd w:id="37"/>
    <w:bookmarkStart w:id="38" w:name="install-manual.xhtml#id3"/>
    <w:p>
      <w:pPr>
        <w:pStyle w:val="Heading2"/>
      </w:pPr>
      <w:r>
        <w:t xml:space="preserve">3.2. 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product-stable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</w:p>
    <w:p>
      <w:pPr>
        <w:pStyle w:val="BodyText"/>
      </w:pPr>
      <w:r>
        <w:rPr>
          <w:rStyle w:val="VerbatimChar"/>
        </w:rPr>
        <w:t xml:space="preserve">deb http://deb.arta.kz/tengri product-stable main contrib non-free</w:t>
      </w:r>
    </w:p>
    <w:bookmarkEnd w:id="38"/>
    <w:bookmarkStart w:id="41" w:name="install-manual.xhtml#id4"/>
    <w:p>
      <w:pPr>
        <w:pStyle w:val="Heading2"/>
      </w:pPr>
      <w:r>
        <w:t xml:space="preserve">3.3. Установка приложения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arta-synergy-apps-workflow</w:t>
      </w:r>
    </w:p>
    <w:p>
      <w:pPr>
        <w:pStyle w:val="FirstParagraph"/>
      </w:pPr>
      <w:r>
        <w:t xml:space="preserve">В ходе установки необходимо выбрать тип установки из предложенного списка</w:t>
      </w:r>
    </w:p>
    <w:p>
      <w:pPr>
        <w:pStyle w:val="BodyText"/>
      </w:pPr>
      <w:r>
        <w:t xml:space="preserve">Примечание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устанавливает приложение Synergy Workflow, автоматически загружает его конфигурацию и настраивает</w:t>
      </w:r>
      <w:r>
        <w:t xml:space="preserve"> </w:t>
      </w:r>
      <w:r>
        <w:t xml:space="preserve">необходимые конфигурационные файлы.</w:t>
      </w:r>
    </w:p>
    <w:p>
      <w:pPr>
        <w:numPr>
          <w:numId w:val="1012"/>
          <w:ilvl w:val="0"/>
        </w:numPr>
      </w:pPr>
      <w:r>
        <w:t xml:space="preserve">Вариант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устанавливает приложение Synergy Workflow без автоматической загрузки конфигурации (т.е. только заменяет</w:t>
      </w:r>
      <w:r>
        <w:t xml:space="preserve"> </w:t>
      </w:r>
      <w:r>
        <w:rPr>
          <w:rStyle w:val="VerbatimChar"/>
        </w:rPr>
        <w:t xml:space="preserve">war</w:t>
      </w:r>
      <w:r>
        <w:t xml:space="preserve">-файлы).</w:t>
      </w:r>
    </w:p>
    <w:p>
      <w:pPr>
        <w:pStyle w:val="FirstParagraph"/>
      </w:pPr>
      <w:r>
        <w:t xml:space="preserve">Дальнейший ход установки зависит от выбранного типа установки:</w:t>
      </w:r>
    </w:p>
    <w:p>
      <w:pPr>
        <w:numPr>
          <w:numId w:val="1013"/>
          <w:ilvl w:val="0"/>
        </w:numPr>
      </w:pPr>
      <w:r>
        <w:t xml:space="preserve">для вариантов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:</w:t>
      </w:r>
    </w:p>
    <w:p>
      <w:pPr>
        <w:pStyle w:val="BlockText"/>
        <w:numPr>
          <w:numId w:val="1014"/>
          <w:ilvl w:val="1"/>
        </w:numPr>
      </w:pPr>
      <w:r>
        <w:t xml:space="preserve">указать URL сервера Synergy, на котором производится работа (например:</w:t>
      </w:r>
      <w:r>
        <w:t xml:space="preserve"> </w:t>
      </w:r>
      <w:r>
        <w:rPr>
          <w:rStyle w:val="VerbatimChar"/>
        </w:rPr>
        <w:t xml:space="preserve">http://192.168.0.187:8080/Synergy</w:t>
      </w:r>
      <w:r>
        <w:t xml:space="preserve">);</w:t>
      </w:r>
    </w:p>
    <w:p>
      <w:pPr>
        <w:pStyle w:val="BlockText"/>
        <w:numPr>
          <w:numId w:val="1014"/>
          <w:ilvl w:val="1"/>
        </w:numPr>
      </w:pPr>
      <w:r>
        <w:t xml:space="preserve">ввести последовательно логин и пароль Системного пользователя;</w:t>
      </w:r>
    </w:p>
    <w:p>
      <w:pPr>
        <w:pStyle w:val="BlockText"/>
        <w:numPr>
          <w:numId w:val="1014"/>
          <w:ilvl w:val="1"/>
        </w:numPr>
      </w:pPr>
      <w:r>
        <w:t xml:space="preserve">ввести пароль пользователя MySQL.</w:t>
      </w:r>
    </w:p>
    <w:p>
      <w:pPr>
        <w:pStyle w:val="FirstParagraph"/>
      </w:pPr>
      <w:r>
        <w:t xml:space="preserve">Начиная с версии workflow-2.12 вместе с приложением workflow также устранавливаются приложения SynergyApp (пакет arta-synergy-apps-basement) - надстройка, которая позволяет использовать на одном стенде несколько приложений (модулей), а также приложение registry - для работы с Реестрами.</w:t>
      </w:r>
    </w:p>
    <w:p>
      <w:pPr>
        <w:pStyle w:val="BodyText"/>
      </w:pPr>
      <w:r>
        <w:t xml:space="preserve">Примечание</w:t>
      </w:r>
    </w:p>
    <w:p>
      <w:pPr>
        <w:numPr>
          <w:numId w:val="1015"/>
          <w:ilvl w:val="0"/>
        </w:numPr>
      </w:pPr>
      <w:r>
        <w:t xml:space="preserve">После установки приложения необходимо зайти в Конструктор и для всех связанных приложений (</w:t>
      </w:r>
      <w:r>
        <w:rPr>
          <w:i/>
        </w:rPr>
        <w:t xml:space="preserve">workflow - Потоки работ, registry - Реестры, contracts - Договоры, basement - Synergy App</w:t>
      </w:r>
      <w:r>
        <w:t xml:space="preserve">) в свойствах указать логин и пароль служебного пользователя с правами администратора.</w:t>
      </w:r>
    </w:p>
    <w:p>
      <w:pPr>
        <w:pStyle w:val="FirstParagraph"/>
      </w:pPr>
      <w:r>
        <w:t xml:space="preserve">Если есть необходимость добавить в synergyApp другие приложения (модули) - смотрите</w:t>
      </w:r>
      <w:r>
        <w:t xml:space="preserve"> </w:t>
      </w:r>
      <w:hyperlink r:id="rId39">
        <w:r>
          <w:rPr>
            <w:rStyle w:val="Hyperlink"/>
          </w:rPr>
          <w:t xml:space="preserve">Инструкцию по настройке SynergyApp</w:t>
        </w:r>
      </w:hyperlink>
      <w:r>
        <w:t xml:space="preserve"> </w:t>
      </w:r>
      <w:r>
        <w:t xml:space="preserve">[http://rtd.lan.arta.kz/docs/synergy-apps/ru/latest/settings.html]</w:t>
      </w:r>
    </w:p>
    <w:p>
      <w:pPr>
        <w:pStyle w:val="BodyText"/>
      </w:pPr>
      <w:r>
        <w:t xml:space="preserve">После установки приложения workflow обязательно выполнить пункты (</w:t>
      </w:r>
      <w:hyperlink r:id="rId40">
        <w:r>
          <w:rPr>
            <w:rStyle w:val="Hyperlink"/>
          </w:rPr>
          <w:t xml:space="preserve">Инструкция по первичной настройке</w:t>
        </w:r>
      </w:hyperlink>
      <w:r>
        <w:t xml:space="preserve"> </w:t>
      </w:r>
      <w:r>
        <w:t xml:space="preserve">[http://rtd.lan.arta.kz/docs/workflow-custom-manual/ru/workflow-2.15/First_configuration.html]</w:t>
      </w:r>
      <w:r>
        <w:t xml:space="preserve">)</w:t>
      </w:r>
    </w:p>
    <w:bookmarkEnd w:id="41"/>
    <w:bookmarkEnd w:id="42"/>
    <w:p>
      <w:pPr>
        <w:pStyle w:val="BodyText"/>
      </w:pPr>
      <w:bookmarkStart w:id="43" w:name="First_configuration.xhtml"/>
      <w:bookmarkEnd w:id="43"/>
    </w:p>
    <w:bookmarkStart w:id="47" w:name="First_configuration.xhtml#id1"/>
    <w:p>
      <w:pPr>
        <w:pStyle w:val="Heading1"/>
      </w:pPr>
      <w:r>
        <w:t xml:space="preserve">4. Инструкция по первичной настройке</w:t>
      </w:r>
    </w:p>
    <w:p>
      <w:pPr>
        <w:numPr>
          <w:numId w:val="1016"/>
          <w:ilvl w:val="0"/>
        </w:numPr>
      </w:pPr>
      <w:r>
        <w:t xml:space="preserve">Внести организационную структуру.</w:t>
      </w:r>
    </w:p>
    <w:p>
      <w:pPr>
        <w:pStyle w:val="FirstParagraph"/>
      </w:pPr>
      <w:r>
        <w:t xml:space="preserve">Обязательно должны присутствовать сотрудники с ролями:</w:t>
      </w:r>
    </w:p>
    <w:p>
      <w:pPr>
        <w:numPr>
          <w:numId w:val="1017"/>
          <w:ilvl w:val="0"/>
        </w:numPr>
      </w:pPr>
      <w:r>
        <w:t xml:space="preserve">Сортудник канцелярии</w:t>
      </w:r>
    </w:p>
    <w:p>
      <w:pPr>
        <w:numPr>
          <w:numId w:val="1017"/>
          <w:ilvl w:val="0"/>
        </w:numPr>
      </w:pPr>
      <w:r>
        <w:t xml:space="preserve">Сотрудник отдела кадров (для внедрения процесса Кадрового Делопроизводства)</w:t>
      </w:r>
    </w:p>
    <w:p>
      <w:pPr>
        <w:numPr>
          <w:numId w:val="1018"/>
          <w:ilvl w:val="0"/>
        </w:numPr>
      </w:pPr>
      <w:r>
        <w:t xml:space="preserve">Раздать права на реестры и журналы согласно указанным ролям</w:t>
      </w:r>
    </w:p>
    <w:p>
      <w:pPr>
        <w:numPr>
          <w:numId w:val="1018"/>
          <w:ilvl w:val="0"/>
        </w:numPr>
      </w:pPr>
      <w:r>
        <w:t xml:space="preserve">Настроить формы согласно внутренним потребностям компании</w:t>
      </w:r>
    </w:p>
    <w:p>
      <w:pPr>
        <w:pStyle w:val="FirstParagraph"/>
      </w:pPr>
      <w:r>
        <w:rPr>
          <w:i/>
        </w:rPr>
        <w:t xml:space="preserve">Прим. В текущей конфигурации на формах приказов и трудовых договоров</w:t>
      </w:r>
      <w:r>
        <w:rPr>
          <w:i/>
        </w:rPr>
        <w:t xml:space="preserve"> </w:t>
      </w:r>
      <w:r>
        <w:rPr>
          <w:i/>
        </w:rPr>
        <w:t xml:space="preserve">присутствуют компоненты Должности и ФИО руководителя организации (от имени которого запускаются приказы).</w:t>
      </w:r>
      <w:r>
        <w:rPr>
          <w:i/>
        </w:rPr>
        <w:t xml:space="preserve"> </w:t>
      </w:r>
      <w:r>
        <w:rPr>
          <w:i/>
        </w:rPr>
        <w:t xml:space="preserve">Их необхоидмо заполнить соответствующими значениями)</w:t>
      </w:r>
    </w:p>
    <w:p>
      <w:pPr>
        <w:numPr>
          <w:numId w:val="1019"/>
          <w:ilvl w:val="0"/>
        </w:numPr>
      </w:pPr>
      <w:r>
        <w:t xml:space="preserve">Настроить маршруты реестров согласно внутренним потребностям компании.</w:t>
      </w:r>
    </w:p>
    <w:p>
      <w:pPr>
        <w:pStyle w:val="FirstParagraph"/>
      </w:pPr>
      <w:r>
        <w:rPr>
          <w:i/>
        </w:rPr>
        <w:t xml:space="preserve">Настройка форм и маршрутов осуществляется в конфигураторе платформы. Для подробной инструкции обратитесь к обучающим курсам по платформе.</w:t>
      </w:r>
    </w:p>
    <w:p>
      <w:pPr>
        <w:pStyle w:val="BodyText"/>
      </w:pPr>
      <w:r>
        <w:t xml:space="preserve">Примечание</w:t>
      </w:r>
    </w:p>
    <w:p>
      <w:pPr>
        <w:pStyle w:val="BodyText"/>
      </w:pPr>
      <w:r>
        <w:t xml:space="preserve">Рекомендуем пройти обучающией курсы</w:t>
      </w:r>
      <w:r>
        <w:t xml:space="preserve"> </w:t>
      </w:r>
      <w:hyperlink r:id="rId44">
        <w:r>
          <w:rPr>
            <w:rStyle w:val="Hyperlink"/>
          </w:rPr>
          <w:t xml:space="preserve">SD03 и SD04</w:t>
        </w:r>
      </w:hyperlink>
      <w:r>
        <w:t xml:space="preserve"> </w:t>
      </w:r>
      <w:r>
        <w:t xml:space="preserve">[https://synergy.arta.pro/lms/main.html]</w:t>
      </w:r>
    </w:p>
    <w:p>
      <w:pPr>
        <w:numPr>
          <w:numId w:val="1020"/>
          <w:ilvl w:val="0"/>
        </w:numPr>
      </w:pPr>
      <w:r>
        <w:t xml:space="preserve">Для корректной работы модуля «Договоры» необходимо:</w:t>
      </w:r>
    </w:p>
    <w:p>
      <w:pPr>
        <w:numPr>
          <w:numId w:val="1021"/>
          <w:ilvl w:val="0"/>
        </w:numPr>
      </w:pPr>
      <w:r>
        <w:t xml:space="preserve">настроить</w:t>
      </w:r>
      <w:r>
        <w:t xml:space="preserve"> </w:t>
      </w:r>
      <w:hyperlink r:id="rId45">
        <w:r>
          <w:rPr>
            <w:rStyle w:val="Hyperlink"/>
          </w:rPr>
          <w:t xml:space="preserve">отправку уведомлений</w:t>
        </w:r>
      </w:hyperlink>
      <w:r>
        <w:t xml:space="preserve"> </w:t>
      </w:r>
      <w:r>
        <w:t xml:space="preserve">[http://tdd.lan.arta.kz/docs/synergy/tags/minsky/admin-manual/html/s_settings.html#s_settings.notifications]</w:t>
      </w:r>
      <w:r>
        <w:t xml:space="preserve">;</w:t>
      </w:r>
    </w:p>
    <w:p>
      <w:pPr>
        <w:numPr>
          <w:numId w:val="1021"/>
          <w:ilvl w:val="0"/>
        </w:numPr>
      </w:pPr>
      <w:r>
        <w:t xml:space="preserve">настроить</w:t>
      </w:r>
      <w:r>
        <w:t xml:space="preserve"> </w:t>
      </w:r>
      <w:hyperlink r:id="rId46">
        <w:r>
          <w:rPr>
            <w:rStyle w:val="Hyperlink"/>
          </w:rPr>
          <w:t xml:space="preserve">ЭЦП</w:t>
        </w:r>
      </w:hyperlink>
      <w:r>
        <w:t xml:space="preserve"> </w:t>
      </w:r>
      <w:r>
        <w:t xml:space="preserve">[http://tdd.lan.arta.kz/docs/synergy/tags/minsky/admin-manual/html/EDI.html#EDI.settings]</w:t>
      </w:r>
      <w:r>
        <w:t xml:space="preserve">;</w:t>
      </w:r>
    </w:p>
    <w:p>
      <w:pPr>
        <w:numPr>
          <w:numId w:val="1021"/>
          <w:ilvl w:val="0"/>
        </w:numPr>
      </w:pPr>
      <w:r>
        <w:t xml:space="preserve">в блокирующих процессах</w:t>
      </w:r>
      <w:r>
        <w:t xml:space="preserve"> </w:t>
      </w:r>
      <w:r>
        <w:rPr>
          <w:rStyle w:val="VerbatimChar"/>
        </w:rPr>
        <w:t xml:space="preserve">event.blocking.interpreter.counterparty.create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event.blocking.interpreter.counterparty.notification</w:t>
      </w:r>
      <w:r>
        <w:t xml:space="preserve"> </w:t>
      </w:r>
      <w:r>
        <w:t xml:space="preserve">в переменной</w:t>
      </w:r>
      <w:r>
        <w:t xml:space="preserve"> </w:t>
      </w:r>
      <w:r>
        <w:rPr>
          <w:rStyle w:val="VerbatimChar"/>
        </w:rPr>
        <w:t xml:space="preserve">cabinetHost</w:t>
      </w:r>
      <w:r>
        <w:t xml:space="preserve"> </w:t>
      </w:r>
      <w:r>
        <w:t xml:space="preserve">указать актуальный адрес (он будет указываться в уведомлениях для контрагентов);</w:t>
      </w:r>
    </w:p>
    <w:p>
      <w:pPr>
        <w:numPr>
          <w:numId w:val="1021"/>
          <w:ilvl w:val="0"/>
        </w:numPr>
      </w:pPr>
      <w:r>
        <w:t xml:space="preserve">блокирующий процесс</w:t>
      </w:r>
      <w:r>
        <w:t xml:space="preserve"> </w:t>
      </w:r>
      <w:r>
        <w:rPr>
          <w:rStyle w:val="VerbatimChar"/>
        </w:rPr>
        <w:t xml:space="preserve">event.blocking.interpreter.counterparty.app</w:t>
      </w:r>
      <w:r>
        <w:t xml:space="preserve"> </w:t>
      </w:r>
      <w:r>
        <w:t xml:space="preserve">настроен для работы с реестром Договоры (ссылка на контрагента, номер, дата, срок действия договора). Для работы с другим реестром необходимо указать в БП соотвествующие поля другого реестра;</w:t>
      </w:r>
    </w:p>
    <w:p>
      <w:pPr>
        <w:numPr>
          <w:numId w:val="1021"/>
          <w:ilvl w:val="0"/>
        </w:numPr>
      </w:pPr>
      <w:r>
        <w:t xml:space="preserve">блокирующий процесс</w:t>
      </w:r>
      <w:r>
        <w:t xml:space="preserve"> </w:t>
      </w:r>
      <w:r>
        <w:rPr>
          <w:rStyle w:val="VerbatimChar"/>
        </w:rPr>
        <w:t xml:space="preserve">event.blocking.interpreter.counterparty.app</w:t>
      </w:r>
      <w:r>
        <w:t xml:space="preserve"> </w:t>
      </w:r>
      <w:r>
        <w:t xml:space="preserve">необходимо поставить в маршрут договора перед этапом отправки договора на согласование контрагенту;</w:t>
      </w:r>
    </w:p>
    <w:p>
      <w:pPr>
        <w:numPr>
          <w:numId w:val="1021"/>
          <w:ilvl w:val="0"/>
        </w:numPr>
      </w:pPr>
      <w:r>
        <w:t xml:space="preserve">создать группу с кодом</w:t>
      </w:r>
      <w:r>
        <w:t xml:space="preserve"> </w:t>
      </w:r>
      <w:r>
        <w:rPr>
          <w:rStyle w:val="VerbatimChar"/>
        </w:rPr>
        <w:t xml:space="preserve">workflow_group_counterparties</w:t>
      </w:r>
      <w:r>
        <w:t xml:space="preserve">;</w:t>
      </w:r>
    </w:p>
    <w:p>
      <w:pPr>
        <w:numPr>
          <w:numId w:val="1021"/>
          <w:ilvl w:val="0"/>
        </w:numPr>
      </w:pPr>
      <w:r>
        <w:t xml:space="preserve">создать в оргструктуре должность с кодом</w:t>
      </w:r>
      <w:r>
        <w:t xml:space="preserve"> </w:t>
      </w:r>
      <w:r>
        <w:rPr>
          <w:rStyle w:val="VerbatimChar"/>
        </w:rPr>
        <w:t xml:space="preserve">counterparties</w:t>
      </w:r>
      <w:r>
        <w:t xml:space="preserve">;</w:t>
      </w:r>
    </w:p>
    <w:p>
      <w:pPr>
        <w:numPr>
          <w:numId w:val="1021"/>
          <w:ilvl w:val="0"/>
        </w:numPr>
      </w:pPr>
      <w:r>
        <w:t xml:space="preserve">внести контрагентов в реестре Контрагенты (</w:t>
      </w:r>
      <w:r>
        <w:rPr>
          <w:rStyle w:val="VerbatimChar"/>
        </w:rPr>
        <w:t xml:space="preserve">workflow_registry_clients</w:t>
      </w:r>
      <w:r>
        <w:t xml:space="preserve">);</w:t>
      </w:r>
    </w:p>
    <w:p>
      <w:pPr>
        <w:pStyle w:val="DefinitionTerm"/>
        <w:numPr>
          <w:numId w:val="1021"/>
          <w:ilvl w:val="0"/>
        </w:numPr>
      </w:pPr>
      <w:r>
        <w:t xml:space="preserve">для реестра</w:t>
      </w:r>
      <w:r>
        <w:t xml:space="preserve"> </w:t>
      </w:r>
      <w:r>
        <w:rPr>
          <w:b/>
        </w:rPr>
        <w:t xml:space="preserve">Мои документы</w:t>
      </w:r>
      <w:r>
        <w:t xml:space="preserve"> </w:t>
      </w:r>
      <w:r>
        <w:t xml:space="preserve">(код</w:t>
      </w:r>
      <w:r>
        <w:t xml:space="preserve"> </w:t>
      </w:r>
      <w:r>
        <w:rPr>
          <w:rStyle w:val="VerbatimChar"/>
        </w:rPr>
        <w:t xml:space="preserve">workflow_registry_my_docs</w:t>
      </w:r>
      <w:r>
        <w:t xml:space="preserve">) настроить фильтры и права на них для контрагентов:</w:t>
      </w:r>
    </w:p>
    <w:p>
      <w:pPr>
        <w:pStyle w:val="Definition"/>
        <w:numPr>
          <w:numId w:val="1022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Все</w:t>
      </w:r>
      <w:r>
        <w:t xml:space="preserve"> </w:t>
      </w:r>
      <w:r>
        <w:rPr>
          <w:rStyle w:val="VerbatimChar"/>
        </w:rPr>
        <w:t xml:space="preserve">workflow_registry_my_docs_filter_all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пользователя);</w:t>
      </w:r>
    </w:p>
    <w:p>
      <w:pPr>
        <w:pStyle w:val="Definition"/>
        <w:numPr>
          <w:numId w:val="1022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Без подписи</w:t>
      </w:r>
      <w:r>
        <w:t xml:space="preserve"> </w:t>
      </w:r>
      <w:r>
        <w:rPr>
          <w:rStyle w:val="VerbatimChar"/>
        </w:rPr>
        <w:t xml:space="preserve">workflow_registry_my_docs_filter_unsigned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 + поле Статус «Без подписи»;</w:t>
      </w:r>
    </w:p>
    <w:p>
      <w:pPr>
        <w:pStyle w:val="Definition"/>
        <w:numPr>
          <w:numId w:val="1022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Подписан</w:t>
      </w:r>
      <w:r>
        <w:t xml:space="preserve"> </w:t>
      </w:r>
      <w:r>
        <w:rPr>
          <w:rStyle w:val="VerbatimChar"/>
        </w:rPr>
        <w:t xml:space="preserve">workflow_registry_my_docs_filter_signed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 + поле Статус «Подписан»;</w:t>
      </w:r>
    </w:p>
    <w:p>
      <w:pPr>
        <w:pStyle w:val="Definition"/>
        <w:numPr>
          <w:numId w:val="1022"/>
          <w:ilvl w:val="1"/>
        </w:numPr>
      </w:pPr>
      <w:r>
        <w:t xml:space="preserve">фильтр</w:t>
      </w:r>
      <w:r>
        <w:t xml:space="preserve"> </w:t>
      </w:r>
      <w:r>
        <w:rPr>
          <w:b/>
        </w:rPr>
        <w:t xml:space="preserve">Отклонен</w:t>
      </w:r>
      <w:r>
        <w:t xml:space="preserve"> </w:t>
      </w:r>
      <w:r>
        <w:rPr>
          <w:rStyle w:val="VerbatimChar"/>
        </w:rPr>
        <w:t xml:space="preserve">workflow_registry_my_docs_filter_declined</w:t>
      </w:r>
      <w:r>
        <w:t xml:space="preserve"> </w:t>
      </w:r>
      <w:r>
        <w:t xml:space="preserve">- (поле</w:t>
      </w:r>
      <w:r>
        <w:t xml:space="preserve"> </w:t>
      </w:r>
      <w:r>
        <w:rPr>
          <w:rStyle w:val="VerbatimChar"/>
        </w:rPr>
        <w:t xml:space="preserve">workflow_form_my_doc_user</w:t>
      </w:r>
      <w:r>
        <w:t xml:space="preserve"> </w:t>
      </w:r>
      <w:r>
        <w:t xml:space="preserve">содержит текущего пользователя) + поле Статус «Отклонен».</w:t>
      </w:r>
    </w:p>
    <w:bookmarkEnd w:id="47"/>
    <w:p>
      <w:pPr>
        <w:pStyle w:val="FirstParagraph"/>
      </w:pPr>
      <w:bookmarkStart w:id="48" w:name="Product_structure.xhtml"/>
      <w:bookmarkEnd w:id="48"/>
    </w:p>
    <w:bookmarkStart w:id="54" w:name="Product_structure.xhtml#id1"/>
    <w:p>
      <w:pPr>
        <w:pStyle w:val="Heading1"/>
      </w:pPr>
      <w:r>
        <w:t xml:space="preserve">5. Структура продукта</w:t>
      </w:r>
    </w:p>
    <w:bookmarkStart w:id="49" w:name="Product_structure.xhtml#id2"/>
    <w:p>
      <w:pPr>
        <w:pStyle w:val="Heading2"/>
      </w:pPr>
      <w:r>
        <w:t xml:space="preserve">5.1. Как все устроено</w:t>
      </w:r>
    </w:p>
    <w:p>
      <w:pPr>
        <w:pStyle w:val="FirstParagraph"/>
      </w:pPr>
      <w:r>
        <w:t xml:space="preserve">Система Synergy Workflow реализована на базе платформы ARTA SYNERGY, путем создания конфигурации, допускающей гибкую настройку объектов: форм, маршрутов, статусов и пр…</w:t>
      </w:r>
    </w:p>
    <w:p>
      <w:pPr>
        <w:pStyle w:val="BodyText"/>
      </w:pPr>
      <w:r>
        <w:t xml:space="preserve">В системе Synergy Workflow реализованы следующие глобальные процессы и их подпроцессы:</w:t>
      </w:r>
    </w:p>
    <w:p>
      <w:pPr>
        <w:pStyle w:val="DefinitionTerm"/>
        <w:numPr>
          <w:numId w:val="1023"/>
          <w:ilvl w:val="0"/>
        </w:numPr>
      </w:pPr>
      <w:r>
        <w:t xml:space="preserve">Контроль поручений</w:t>
      </w:r>
    </w:p>
    <w:p>
      <w:pPr>
        <w:pStyle w:val="Definition"/>
        <w:numPr>
          <w:numId w:val="1024"/>
          <w:ilvl w:val="1"/>
        </w:numPr>
      </w:pPr>
      <w:r>
        <w:t xml:space="preserve">Управление поручениями (работами)</w:t>
      </w:r>
    </w:p>
    <w:p>
      <w:pPr>
        <w:pStyle w:val="Definition"/>
        <w:numPr>
          <w:numId w:val="1024"/>
          <w:ilvl w:val="1"/>
        </w:numPr>
      </w:pPr>
      <w:r>
        <w:t xml:space="preserve">Управление протоколами совещаний</w:t>
      </w:r>
    </w:p>
    <w:p>
      <w:pPr>
        <w:pStyle w:val="DefinitionTerm"/>
        <w:numPr>
          <w:numId w:val="1023"/>
          <w:ilvl w:val="0"/>
        </w:numPr>
      </w:pPr>
      <w:r>
        <w:t xml:space="preserve">Документооборот</w:t>
      </w:r>
    </w:p>
    <w:p>
      <w:pPr>
        <w:pStyle w:val="Definition"/>
        <w:numPr>
          <w:numId w:val="1025"/>
          <w:ilvl w:val="1"/>
        </w:numPr>
      </w:pPr>
      <w:r>
        <w:t xml:space="preserve">Входящая корреспонденция (1 журнал регистрации)</w:t>
      </w:r>
    </w:p>
    <w:p>
      <w:pPr>
        <w:pStyle w:val="Definition"/>
        <w:numPr>
          <w:numId w:val="1025"/>
          <w:ilvl w:val="1"/>
        </w:numPr>
      </w:pPr>
      <w:r>
        <w:t xml:space="preserve">Исходящая корреспонеденция (1 журнал регистрации)</w:t>
      </w:r>
    </w:p>
    <w:p>
      <w:pPr>
        <w:pStyle w:val="Definition"/>
        <w:numPr>
          <w:numId w:val="1025"/>
          <w:ilvl w:val="1"/>
        </w:numPr>
      </w:pPr>
      <w:r>
        <w:t xml:space="preserve">Резолюции и контроль исполнения документов</w:t>
      </w:r>
    </w:p>
    <w:p>
      <w:pPr>
        <w:pStyle w:val="Definition"/>
        <w:numPr>
          <w:numId w:val="1025"/>
          <w:ilvl w:val="1"/>
        </w:numPr>
      </w:pPr>
      <w:r>
        <w:t xml:space="preserve">Архив (5 номенклатурных дел)</w:t>
      </w:r>
    </w:p>
    <w:p>
      <w:pPr>
        <w:pStyle w:val="Definition"/>
        <w:numPr>
          <w:numId w:val="1025"/>
          <w:ilvl w:val="1"/>
        </w:numPr>
      </w:pPr>
      <w:r>
        <w:t xml:space="preserve">Внутрення переписка (1 журнал регистрации, 1 форма и реестр служебных записок)</w:t>
      </w:r>
    </w:p>
    <w:p>
      <w:pPr>
        <w:pStyle w:val="DefinitionTerm"/>
        <w:numPr>
          <w:numId w:val="1023"/>
          <w:ilvl w:val="0"/>
        </w:numPr>
      </w:pPr>
      <w:r>
        <w:t xml:space="preserve">Кадровое делопроизводство</w:t>
      </w:r>
    </w:p>
    <w:p>
      <w:pPr>
        <w:pStyle w:val="Definition"/>
        <w:numPr>
          <w:numId w:val="1026"/>
          <w:ilvl w:val="1"/>
        </w:numPr>
      </w:pPr>
      <w:r>
        <w:t xml:space="preserve">Прием (2 формы и 2 реестра служебных записок, 1 форма и реестр приказов на прием, 1 форма и реестр трудовых договоров)</w:t>
      </w:r>
    </w:p>
    <w:p>
      <w:pPr>
        <w:pStyle w:val="Definition"/>
        <w:numPr>
          <w:numId w:val="1026"/>
          <w:ilvl w:val="1"/>
        </w:numPr>
      </w:pPr>
      <w:r>
        <w:t xml:space="preserve">Перевод (1 форма и реестр служебных записок на перевод ,1 форма и реестр приказов на перевод)</w:t>
      </w:r>
    </w:p>
    <w:p>
      <w:pPr>
        <w:pStyle w:val="Definition"/>
        <w:numPr>
          <w:numId w:val="1026"/>
          <w:ilvl w:val="1"/>
        </w:numPr>
      </w:pPr>
      <w:r>
        <w:t xml:space="preserve">Увольнения (1 форма и реестр заявлений на увольнение ,1 форма и реестр приказов на увольнение)</w:t>
      </w:r>
    </w:p>
    <w:p>
      <w:pPr>
        <w:pStyle w:val="Definition"/>
        <w:numPr>
          <w:numId w:val="1026"/>
          <w:ilvl w:val="1"/>
        </w:numPr>
      </w:pPr>
      <w:r>
        <w:t xml:space="preserve">Отпуска (5 форм и реестров заявлений на отпуск, 5 форм и реестров приказов на отпуск)</w:t>
      </w:r>
    </w:p>
    <w:p>
      <w:pPr>
        <w:pStyle w:val="Definition"/>
        <w:numPr>
          <w:numId w:val="1026"/>
          <w:ilvl w:val="1"/>
        </w:numPr>
      </w:pPr>
      <w:r>
        <w:t xml:space="preserve">Командирования (1 форма и реестр служебных записок на командирование ,1 форма и реестр приказов на командирование)</w:t>
      </w:r>
    </w:p>
    <w:p>
      <w:pPr>
        <w:pStyle w:val="Definition"/>
        <w:numPr>
          <w:numId w:val="1026"/>
          <w:ilvl w:val="1"/>
        </w:numPr>
      </w:pPr>
      <w:r>
        <w:t xml:space="preserve">Штатное расписания, расстановка, кадровый резерв</w:t>
      </w:r>
    </w:p>
    <w:p>
      <w:pPr>
        <w:pStyle w:val="Definition"/>
        <w:numPr>
          <w:numId w:val="1026"/>
          <w:ilvl w:val="1"/>
        </w:numPr>
      </w:pPr>
      <w:r>
        <w:t xml:space="preserve">Ведение личных дел/личных карточек по сотрудникам.»</w:t>
      </w:r>
    </w:p>
    <w:p>
      <w:pPr>
        <w:pStyle w:val="FirstParagraph"/>
      </w:pPr>
      <w:r>
        <w:t xml:space="preserve">В конфигураторе приложение</w:t>
      </w:r>
      <w:r>
        <w:t xml:space="preserve"> </w:t>
      </w:r>
      <w:r>
        <w:rPr>
          <w:rStyle w:val="VerbatimChar"/>
        </w:rPr>
        <w:t xml:space="preserve">workflow</w:t>
      </w:r>
      <w:r>
        <w:t xml:space="preserve"> </w:t>
      </w:r>
      <w:r>
        <w:t xml:space="preserve">состоит из следующих папок:</w:t>
      </w:r>
    </w:p>
    <w:p>
      <w:pPr>
        <w:pStyle w:val="DefinitionTerm"/>
        <w:numPr>
          <w:numId w:val="1027"/>
          <w:ilvl w:val="0"/>
        </w:numPr>
      </w:pPr>
      <w:r>
        <w:rPr>
          <w:rStyle w:val="VerbatimChar"/>
        </w:rPr>
        <w:t xml:space="preserve">contracts</w:t>
      </w:r>
      <w:r>
        <w:t xml:space="preserve"> </w:t>
      </w:r>
      <w:r>
        <w:t xml:space="preserve">- Договора и контрагенты</w:t>
      </w:r>
    </w:p>
    <w:p>
      <w:pPr>
        <w:pStyle w:val="Definition"/>
        <w:numPr>
          <w:numId w:val="1028"/>
          <w:ilvl w:val="1"/>
        </w:numPr>
      </w:pPr>
      <w:r>
        <w:rPr>
          <w:rStyle w:val="VerbatimChar"/>
        </w:rPr>
        <w:t xml:space="preserve">сontract_dicts</w:t>
      </w:r>
      <w:r>
        <w:t xml:space="preserve"> </w:t>
      </w:r>
      <w:r>
        <w:t xml:space="preserve">- справочники, используемые в формах договоров и контрагентов</w:t>
      </w:r>
    </w:p>
    <w:p>
      <w:pPr>
        <w:pStyle w:val="Definition"/>
        <w:numPr>
          <w:numId w:val="1028"/>
          <w:ilvl w:val="1"/>
        </w:numPr>
      </w:pPr>
      <w:r>
        <w:t xml:space="preserve">Формы, реестры договоров</w:t>
      </w:r>
    </w:p>
    <w:p>
      <w:pPr>
        <w:pStyle w:val="Definition"/>
        <w:numPr>
          <w:numId w:val="1028"/>
          <w:ilvl w:val="1"/>
        </w:numPr>
      </w:pPr>
      <w:r>
        <w:t xml:space="preserve">Формы, реестры контрагентов</w:t>
      </w:r>
    </w:p>
    <w:p>
      <w:pPr>
        <w:pStyle w:val="DefinitionTerm"/>
        <w:numPr>
          <w:numId w:val="1027"/>
          <w:ilvl w:val="0"/>
        </w:numPr>
      </w:pPr>
      <w:r>
        <w:rPr>
          <w:rStyle w:val="VerbatimChar"/>
        </w:rPr>
        <w:t xml:space="preserve">docflow</w:t>
      </w:r>
      <w:r>
        <w:t xml:space="preserve"> </w:t>
      </w:r>
      <w:r>
        <w:t xml:space="preserve">- объекты Документооборота</w:t>
      </w:r>
    </w:p>
    <w:p>
      <w:pPr>
        <w:pStyle w:val="Definition"/>
        <w:numPr>
          <w:numId w:val="1029"/>
          <w:ilvl w:val="1"/>
        </w:numPr>
      </w:pPr>
      <w:r>
        <w:rPr>
          <w:rStyle w:val="VerbatimChar"/>
        </w:rPr>
        <w:t xml:space="preserve">сounters</w:t>
      </w:r>
      <w:r>
        <w:t xml:space="preserve"> </w:t>
      </w:r>
      <w:r>
        <w:t xml:space="preserve">- счетчики</w:t>
      </w:r>
    </w:p>
    <w:p>
      <w:pPr>
        <w:pStyle w:val="Definition"/>
        <w:numPr>
          <w:numId w:val="1029"/>
          <w:ilvl w:val="1"/>
        </w:numPr>
      </w:pPr>
      <w:r>
        <w:rPr>
          <w:rStyle w:val="VerbatimChar"/>
        </w:rPr>
        <w:t xml:space="preserve">document_registers</w:t>
      </w:r>
      <w:r>
        <w:t xml:space="preserve"> </w:t>
      </w:r>
      <w:r>
        <w:t xml:space="preserve">- журналы</w:t>
      </w:r>
    </w:p>
    <w:p>
      <w:pPr>
        <w:pStyle w:val="Definition"/>
        <w:numPr>
          <w:numId w:val="1029"/>
          <w:ilvl w:val="1"/>
        </w:numPr>
      </w:pPr>
      <w:r>
        <w:rPr>
          <w:rStyle w:val="VerbatimChar"/>
        </w:rPr>
        <w:t xml:space="preserve">document_types</w:t>
      </w:r>
      <w:r>
        <w:t xml:space="preserve"> </w:t>
      </w:r>
      <w:r>
        <w:t xml:space="preserve">- типы документов</w:t>
      </w:r>
    </w:p>
    <w:p>
      <w:pPr>
        <w:pStyle w:val="Definition"/>
        <w:numPr>
          <w:numId w:val="1029"/>
          <w:ilvl w:val="1"/>
        </w:numPr>
      </w:pPr>
      <w:r>
        <w:rPr>
          <w:rStyle w:val="VerbatimChar"/>
        </w:rPr>
        <w:t xml:space="preserve">number_templates</w:t>
      </w:r>
      <w:r>
        <w:t xml:space="preserve"> </w:t>
      </w:r>
      <w:r>
        <w:t xml:space="preserve">- шаблоны номеров</w:t>
      </w:r>
    </w:p>
    <w:p>
      <w:pPr>
        <w:numPr>
          <w:numId w:val="1027"/>
          <w:ilvl w:val="0"/>
        </w:numPr>
      </w:pPr>
      <w:r>
        <w:rPr>
          <w:rStyle w:val="VerbatimChar"/>
        </w:rPr>
        <w:t xml:space="preserve">groups</w:t>
      </w:r>
      <w:r>
        <w:t xml:space="preserve"> </w:t>
      </w:r>
      <w:r>
        <w:t xml:space="preserve">- Группы пользователей</w:t>
      </w:r>
    </w:p>
    <w:p>
      <w:pPr>
        <w:pStyle w:val="DefinitionTerm"/>
        <w:numPr>
          <w:numId w:val="1027"/>
          <w:ilvl w:val="0"/>
        </w:numPr>
      </w:pPr>
      <w:r>
        <w:rPr>
          <w:rStyle w:val="VerbatimChar"/>
        </w:rPr>
        <w:t xml:space="preserve">hr_processes</w:t>
      </w:r>
    </w:p>
    <w:p>
      <w:pPr>
        <w:pStyle w:val="Definition"/>
        <w:numPr>
          <w:numId w:val="1030"/>
          <w:ilvl w:val="1"/>
        </w:numPr>
      </w:pPr>
      <w:r>
        <w:rPr>
          <w:rStyle w:val="VerbatimChar"/>
        </w:rPr>
        <w:t xml:space="preserve">buisness_trip</w:t>
      </w:r>
      <w:r>
        <w:t xml:space="preserve"> </w:t>
      </w:r>
      <w:r>
        <w:t xml:space="preserve">- справочники, формы, реестры процесса «Командирование»</w:t>
      </w:r>
    </w:p>
    <w:p>
      <w:pPr>
        <w:pStyle w:val="Definition"/>
        <w:numPr>
          <w:numId w:val="1030"/>
          <w:ilvl w:val="1"/>
        </w:numPr>
      </w:pPr>
      <w:r>
        <w:rPr>
          <w:rStyle w:val="VerbatimChar"/>
        </w:rPr>
        <w:t xml:space="preserve">firing</w:t>
      </w:r>
      <w:r>
        <w:t xml:space="preserve"> </w:t>
      </w:r>
      <w:r>
        <w:t xml:space="preserve">- справочники, формы, реестры процесса «Увольнение»</w:t>
      </w:r>
    </w:p>
    <w:p>
      <w:pPr>
        <w:pStyle w:val="Definition"/>
        <w:numPr>
          <w:numId w:val="1030"/>
          <w:ilvl w:val="1"/>
        </w:numPr>
      </w:pPr>
      <w:r>
        <w:rPr>
          <w:rStyle w:val="VerbatimChar"/>
        </w:rPr>
        <w:t xml:space="preserve">hiring</w:t>
      </w:r>
      <w:r>
        <w:t xml:space="preserve"> </w:t>
      </w:r>
      <w:r>
        <w:t xml:space="preserve">- справочники, формы, реестры процесса «Прием»</w:t>
      </w:r>
    </w:p>
    <w:p>
      <w:pPr>
        <w:pStyle w:val="Definition"/>
        <w:numPr>
          <w:numId w:val="1030"/>
          <w:ilvl w:val="1"/>
        </w:numPr>
      </w:pPr>
      <w:r>
        <w:rPr>
          <w:rStyle w:val="VerbatimChar"/>
        </w:rPr>
        <w:t xml:space="preserve">internal_notes</w:t>
      </w:r>
      <w:r>
        <w:t xml:space="preserve"> </w:t>
      </w:r>
      <w:r>
        <w:t xml:space="preserve">- справочники, формы, реестры процесса «Внутренняя служебная записка»</w:t>
      </w:r>
    </w:p>
    <w:p>
      <w:pPr>
        <w:pStyle w:val="DefinitionTerm"/>
        <w:pStyle w:val="Definition"/>
        <w:numPr>
          <w:numId w:val="1030"/>
          <w:ilvl w:val="1"/>
        </w:numPr>
      </w:pPr>
      <w:r>
        <w:rPr>
          <w:rStyle w:val="VerbatimChar"/>
        </w:rPr>
        <w:t xml:space="preserve">leaves</w:t>
      </w:r>
      <w:r>
        <w:t xml:space="preserve"> </w:t>
      </w:r>
      <w:r>
        <w:t xml:space="preserve">- «Отпуска»</w:t>
      </w:r>
    </w:p>
    <w:p>
      <w:pPr>
        <w:pStyle w:val="Definition"/>
        <w:pStyle w:val="Definition"/>
        <w:numPr>
          <w:numId w:val="1031"/>
          <w:ilvl w:val="2"/>
        </w:numPr>
      </w:pPr>
      <w:r>
        <w:rPr>
          <w:rStyle w:val="VerbatimChar"/>
        </w:rPr>
        <w:t xml:space="preserve">leave</w:t>
      </w:r>
      <w:r>
        <w:t xml:space="preserve"> </w:t>
      </w:r>
      <w:r>
        <w:t xml:space="preserve">- справочники, формы, реестры процесса «Очередной трудовой отпуск»</w:t>
      </w:r>
    </w:p>
    <w:p>
      <w:pPr>
        <w:pStyle w:val="Definition"/>
        <w:pStyle w:val="Definition"/>
        <w:numPr>
          <w:numId w:val="1031"/>
          <w:ilvl w:val="2"/>
        </w:numPr>
      </w:pPr>
      <w:r>
        <w:rPr>
          <w:rStyle w:val="VerbatimChar"/>
        </w:rPr>
        <w:t xml:space="preserve">social_leave</w:t>
      </w:r>
      <w:r>
        <w:t xml:space="preserve"> </w:t>
      </w:r>
      <w:r>
        <w:t xml:space="preserve">- справочники, формы, реестры процесса «Учебный отпуск», «ОБР», «ОУР»</w:t>
      </w:r>
    </w:p>
    <w:p>
      <w:pPr>
        <w:pStyle w:val="Definition"/>
        <w:pStyle w:val="Definition"/>
        <w:numPr>
          <w:numId w:val="1031"/>
          <w:ilvl w:val="2"/>
        </w:numPr>
      </w:pPr>
      <w:r>
        <w:rPr>
          <w:rStyle w:val="VerbatimChar"/>
        </w:rPr>
        <w:t xml:space="preserve">unpaid_leave</w:t>
      </w:r>
      <w:r>
        <w:t xml:space="preserve"> </w:t>
      </w:r>
      <w:r>
        <w:t xml:space="preserve">- справочники, формы, реестры процесса «Неоплачиваемый отпуск»</w:t>
      </w:r>
    </w:p>
    <w:p>
      <w:pPr>
        <w:pStyle w:val="Definition"/>
        <w:numPr>
          <w:numId w:val="1030"/>
          <w:ilvl w:val="1"/>
        </w:numPr>
      </w:pPr>
      <w:r>
        <w:rPr>
          <w:rStyle w:val="VerbatimChar"/>
        </w:rPr>
        <w:t xml:space="preserve">transfer</w:t>
      </w:r>
      <w:r>
        <w:t xml:space="preserve"> </w:t>
      </w:r>
      <w:r>
        <w:t xml:space="preserve">- справочники, формы, реестры процесса «Перевод»</w:t>
      </w:r>
    </w:p>
    <w:bookmarkEnd w:id="49"/>
    <w:bookmarkStart w:id="53" w:name="Product_structure.xhtml#id3"/>
    <w:p>
      <w:pPr>
        <w:pStyle w:val="Heading2"/>
      </w:pPr>
      <w:r>
        <w:t xml:space="preserve">5.2. Список блокирующих процессов</w:t>
      </w:r>
    </w:p>
    <w:bookmarkStart w:id="50" w:name="Product_structure.xhtml#event-blocking-interpreter-counterparty-create"/>
    <w:p>
      <w:pPr>
        <w:pStyle w:val="Heading3"/>
      </w:pPr>
      <w:r>
        <w:t xml:space="preserve">5.2.1. event.blocking.interpreter.counterparty.create</w:t>
      </w:r>
    </w:p>
    <w:p>
      <w:pPr>
        <w:pStyle w:val="FirstParagraph"/>
      </w:pPr>
      <w:r>
        <w:t xml:space="preserve">Блокирующий процесс для приложения Договоры. Выполняет следующие действия:</w:t>
      </w:r>
    </w:p>
    <w:p>
      <w:pPr>
        <w:numPr>
          <w:numId w:val="1032"/>
          <w:ilvl w:val="0"/>
        </w:numPr>
      </w:pPr>
      <w:r>
        <w:t xml:space="preserve">Создание пользователя Synergy из данных записи реестра «Контрагенты» (+проверки)</w:t>
      </w:r>
    </w:p>
    <w:p>
      <w:pPr>
        <w:numPr>
          <w:numId w:val="1032"/>
          <w:ilvl w:val="0"/>
        </w:numPr>
      </w:pPr>
      <w:r>
        <w:t xml:space="preserve">Назначение этого пользователя на должность</w:t>
      </w:r>
      <w:r>
        <w:t xml:space="preserve"> </w:t>
      </w:r>
      <w:r>
        <w:rPr>
          <w:rStyle w:val="VerbatimChar"/>
        </w:rPr>
        <w:t xml:space="preserve">counterparties</w:t>
      </w:r>
    </w:p>
    <w:p>
      <w:pPr>
        <w:numPr>
          <w:numId w:val="1032"/>
          <w:ilvl w:val="0"/>
        </w:numPr>
      </w:pPr>
      <w:r>
        <w:t xml:space="preserve">Добавление пользователя в группу доступа</w:t>
      </w:r>
      <w:r>
        <w:t xml:space="preserve"> </w:t>
      </w:r>
      <w:r>
        <w:rPr>
          <w:rStyle w:val="VerbatimChar"/>
        </w:rPr>
        <w:t xml:space="preserve">workflow_group_counterparties</w:t>
      </w:r>
    </w:p>
    <w:p>
      <w:pPr>
        <w:numPr>
          <w:numId w:val="1032"/>
          <w:ilvl w:val="0"/>
        </w:numPr>
      </w:pPr>
      <w:r>
        <w:t xml:space="preserve">Отправка письма с логином-паролем и ссылкой на приложение Договоры на почту</w:t>
      </w:r>
    </w:p>
    <w:bookmarkEnd w:id="50"/>
    <w:bookmarkStart w:id="51" w:name="Product_structure.xhtml#event-blocking-interpreter-counterparty-notification"/>
    <w:p>
      <w:pPr>
        <w:pStyle w:val="Heading3"/>
      </w:pPr>
      <w:r>
        <w:t xml:space="preserve">5.2.2. event.blocking.interpreter.counterparty.notification</w:t>
      </w:r>
    </w:p>
    <w:p>
      <w:pPr>
        <w:pStyle w:val="FirstParagraph"/>
      </w:pPr>
      <w:r>
        <w:t xml:space="preserve">Блокирующий процесс для приложения Договоры. Формирует и отправляет уведомление о новом документе для подписания.</w:t>
      </w:r>
    </w:p>
    <w:bookmarkEnd w:id="51"/>
    <w:bookmarkStart w:id="52" w:name="Product_structure.xhtml#event-blocking-interpreter-counterparty-app"/>
    <w:p>
      <w:pPr>
        <w:pStyle w:val="Heading3"/>
      </w:pPr>
      <w:r>
        <w:t xml:space="preserve">5.2.3. event.blocking.interpreter.counterparty.app</w:t>
      </w:r>
    </w:p>
    <w:p>
      <w:pPr>
        <w:pStyle w:val="FirstParagraph"/>
      </w:pPr>
      <w:r>
        <w:t xml:space="preserve">Блокирующий процесс для приложения Договоры. Создает запись в реестре «Мои документы» - агрегирующий реестр для отображения документов для подписания (могут быть из разных реестров) в личном кабинете контрагента)</w:t>
      </w:r>
    </w:p>
    <w:bookmarkEnd w:id="52"/>
    <w:bookmarkEnd w:id="53"/>
    <w:bookmarkEnd w:id="54"/>
    <w:p>
      <w:pPr>
        <w:pStyle w:val="BodyText"/>
      </w:pPr>
      <w:bookmarkStart w:id="55" w:name="sdecAdapter.xhtml"/>
      <w:bookmarkEnd w:id="55"/>
    </w:p>
    <w:bookmarkStart w:id="59" w:name="sdecAdapter.xhtml#sdecadapter"/>
    <w:p>
      <w:pPr>
        <w:pStyle w:val="Heading1"/>
      </w:pPr>
      <w:r>
        <w:t xml:space="preserve">6. Инструкция по установке SdecAdapter (для интеграции с ЕСЭДО)</w:t>
      </w:r>
    </w:p>
    <w:bookmarkStart w:id="56" w:name="sdecAdapter.xhtml#id1"/>
    <w:p>
      <w:pPr>
        <w:pStyle w:val="Heading2"/>
      </w:pPr>
      <w:r>
        <w:t xml:space="preserve">6.1. Подключение репозиториев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extensions</w:t>
      </w:r>
      <w:r>
        <w:t xml:space="preserve">.</w:t>
      </w:r>
    </w:p>
    <w:p>
      <w:pPr>
        <w:pStyle w:val="BodyText"/>
      </w:pPr>
      <w:r>
        <w:t xml:space="preserve">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 следующую строку:</w:t>
      </w:r>
      <w:r>
        <w:t xml:space="preserve"> </w:t>
      </w:r>
      <w:r>
        <w:rPr>
          <w:rStyle w:val="VerbatimChar"/>
        </w:rPr>
        <w:t xml:space="preserve">deb [allow-insecure=yes] http://deb.arta.kz/tengri          extensions         main contrib non-free</w:t>
      </w:r>
    </w:p>
    <w:bookmarkEnd w:id="56"/>
    <w:bookmarkStart w:id="57" w:name="sdecAdapter.xhtml#id2"/>
    <w:p>
      <w:pPr>
        <w:pStyle w:val="Heading2"/>
      </w:pPr>
      <w:r>
        <w:t xml:space="preserve">6.2. Установка приложения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arta-synergy-extensions-sdecadapter</w:t>
      </w:r>
    </w:p>
    <w:p>
      <w:pPr>
        <w:pStyle w:val="FirstParagraph"/>
      </w:pPr>
      <w:r>
        <w:t xml:space="preserve">Пакет SdecAdpater включает в себя:</w:t>
      </w:r>
    </w:p>
    <w:p>
      <w:pPr>
        <w:numPr>
          <w:numId w:val="1033"/>
          <w:ilvl w:val="0"/>
        </w:numPr>
      </w:pPr>
      <w:r>
        <w:t xml:space="preserve">Конфигурацию с необходимыми формами, реестрами, журналами</w:t>
      </w:r>
    </w:p>
    <w:p>
      <w:pPr>
        <w:numPr>
          <w:numId w:val="1033"/>
          <w:ilvl w:val="0"/>
        </w:numPr>
      </w:pPr>
      <w:r>
        <w:t xml:space="preserve">Модуль SdecAdapter для отправки документов и уведомлений в ЦОД SYNERGY - ЕСЭДО (размещается в /opt/synergy/jboss/standalone/deployments)</w:t>
      </w:r>
    </w:p>
    <w:p>
      <w:pPr>
        <w:numPr>
          <w:numId w:val="1033"/>
          <w:ilvl w:val="0"/>
        </w:numPr>
      </w:pPr>
      <w:r>
        <w:t xml:space="preserve">Конфигурационный файл настроек адаптера sdecAdapter.properties (размещается в /opt/synergy/jboss/standalone/configuration/arta)</w:t>
      </w:r>
    </w:p>
    <w:bookmarkEnd w:id="57"/>
    <w:bookmarkStart w:id="58" w:name="sdecAdapter.xhtml#id3"/>
    <w:p>
      <w:pPr>
        <w:pStyle w:val="Heading2"/>
      </w:pPr>
      <w:r>
        <w:t xml:space="preserve">6.3. Первичная настройка</w:t>
      </w:r>
    </w:p>
    <w:p>
      <w:pPr>
        <w:pStyle w:val="FirstParagraph"/>
      </w:pPr>
      <w:r>
        <w:t xml:space="preserve">После установки приложения обязательно выполнить пункты:</w:t>
      </w:r>
    </w:p>
    <w:p>
      <w:pPr>
        <w:numPr>
          <w:numId w:val="1034"/>
          <w:ilvl w:val="0"/>
        </w:numPr>
      </w:pPr>
      <w:r>
        <w:t xml:space="preserve">Прописать корректные настройки в конфигурационном файле sdecAdapter.properties (URL, логин, пароль)</w:t>
      </w:r>
    </w:p>
    <w:p>
      <w:pPr>
        <w:numPr>
          <w:numId w:val="1034"/>
          <w:ilvl w:val="0"/>
        </w:numPr>
      </w:pPr>
      <w:r>
        <w:t xml:space="preserve">Проверить наличие очередей в конфигурационных файлах (добавляются автоматически в ходе установки):</w:t>
      </w:r>
    </w:p>
    <w:p>
      <w:pPr>
        <w:pStyle w:val="FirstParagraph"/>
      </w:pPr>
      <w:r>
        <w:rPr>
          <w:rStyle w:val="VerbatimChar"/>
        </w:rPr>
        <w:t xml:space="preserve">/opt/synergy/jboss/standalone/configuration/standalone-onesynergy.xml</w:t>
      </w:r>
    </w:p>
    <w:p>
      <w:pPr>
        <w:pStyle w:val="SourceCode"/>
      </w:pPr>
      <w:r>
        <w:rPr>
          <w:rStyle w:val="VerbatimChar"/>
        </w:rPr>
        <w:t xml:space="preserve">&lt;jms-queue name="outgoingEmailQueue" entries="queue/outgoingEmailQueue java:jboss/queues/workflow/outgoingEmailQueue" durable="true"/&gt;</w:t>
      </w:r>
      <w:r>
        <w:br w:type="textWrapping"/>
      </w:r>
      <w:r>
        <w:rPr>
          <w:rStyle w:val="VerbatimChar"/>
        </w:rPr>
        <w:t xml:space="preserve">&lt;jms-queue name="ingoingEmailQueue" entries="queue/ingoingEmailQueue java:jboss/queues/workflow/ingoingEmailQueue" durable="true"/&gt;</w:t>
      </w:r>
      <w:r>
        <w:br w:type="textWrapping"/>
      </w:r>
      <w:r>
        <w:rPr>
          <w:rStyle w:val="VerbatimChar"/>
        </w:rPr>
        <w:t xml:space="preserve">&lt;jms-queue name="ingoingEmailQueueReject" entries="queue/ingoingEmailQueueReject java:jboss/queues/workflow/ingoingEmailQueueReject" durable="true"/&gt;</w:t>
      </w:r>
      <w:r>
        <w:br w:type="textWrapping"/>
      </w:r>
      <w:r>
        <w:rPr>
          <w:rStyle w:val="VerbatimChar"/>
        </w:rPr>
        <w:t xml:space="preserve">&lt;jms-queue name="ingoingEmailQueueRegistration" entries="queue/ingoingEmailQueueRegistration java:jboss/queues/workflow/ingoingEmailQueueRegistration" durable="true"/&gt;</w:t>
      </w:r>
    </w:p>
    <w:p>
      <w:pPr>
        <w:pStyle w:val="FirstParagraph"/>
      </w:pPr>
      <w:r>
        <w:rPr>
          <w:rStyle w:val="VerbatimChar"/>
        </w:rPr>
        <w:t xml:space="preserve">/opt/synergy/jboss/standalone/configuration/arta/api-observation-configuration.xml</w:t>
      </w:r>
    </w:p>
    <w:p>
      <w:pPr>
        <w:pStyle w:val="SourceCode"/>
      </w:pP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&lt;queue&gt;java:jboss/queues/workflow/outgoingEmailQueue&lt;/queue&gt;</w:t>
      </w:r>
      <w:r>
        <w:br w:type="textWrapping"/>
      </w:r>
      <w:r>
        <w:rPr>
          <w:rStyle w:val="VerbatimChar"/>
        </w:rPr>
        <w:t xml:space="preserve">    &lt;event&gt;event.sdecadapter.blocking.outgoing_registration&lt;/event&gt;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&lt;queue&gt;java:jboss/queues/workflow/ingoingEmailQueueRegistration&lt;/queue&gt;</w:t>
      </w:r>
      <w:r>
        <w:br w:type="textWrapping"/>
      </w:r>
      <w:r>
        <w:rPr>
          <w:rStyle w:val="VerbatimChar"/>
        </w:rPr>
        <w:t xml:space="preserve">    &lt;event&gt;event.sdecadapter.blocking.ingoing_registration&lt;/event&gt;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&lt;queue&gt;java:jboss/queues/workflow/ingoingEmailQueueReject&lt;/queue&gt;</w:t>
      </w:r>
      <w:r>
        <w:br w:type="textWrapping"/>
      </w:r>
      <w:r>
        <w:rPr>
          <w:rStyle w:val="VerbatimChar"/>
        </w:rPr>
        <w:t xml:space="preserve">    &lt;event&gt;event.sdecadapter.ingoing_reject&lt;/event&gt;</w:t>
      </w:r>
      <w:r>
        <w:br w:type="textWrapping"/>
      </w:r>
      <w:r>
        <w:rPr>
          <w:rStyle w:val="VerbatimChar"/>
        </w:rPr>
        <w:t xml:space="preserve">&lt;/listener&gt;</w:t>
      </w:r>
      <w:r>
        <w:br w:type="textWrapping"/>
      </w:r>
      <w:r>
        <w:rPr>
          <w:rStyle w:val="VerbatimChar"/>
        </w:rPr>
        <w:t xml:space="preserve">&lt;listener&gt;</w:t>
      </w:r>
      <w:r>
        <w:br w:type="textWrapping"/>
      </w:r>
      <w:r>
        <w:rPr>
          <w:rStyle w:val="VerbatimChar"/>
        </w:rPr>
        <w:t xml:space="preserve">    &lt;queue&gt;java:jboss/queues/workflow/ingoingEmailQueue&lt;/queue&gt;</w:t>
      </w:r>
      <w:r>
        <w:br w:type="textWrapping"/>
      </w:r>
      <w:r>
        <w:rPr>
          <w:rStyle w:val="VerbatimChar"/>
        </w:rPr>
        <w:t xml:space="preserve">    &lt;event&gt;event.docflow.document.*&lt;/event&gt;</w:t>
      </w:r>
      <w:r>
        <w:br w:type="textWrapping"/>
      </w:r>
      <w:r>
        <w:rPr>
          <w:rStyle w:val="VerbatimChar"/>
        </w:rPr>
        <w:t xml:space="preserve">&lt;/listener&gt;</w:t>
      </w:r>
    </w:p>
    <w:p>
      <w:pPr>
        <w:numPr>
          <w:numId w:val="1035"/>
          <w:ilvl w:val="0"/>
        </w:numPr>
      </w:pPr>
      <w:r>
        <w:t xml:space="preserve">Прописать на форме входящих и исходящих документов значения полей по-умолчанию:</w:t>
      </w:r>
    </w:p>
    <w:p>
      <w:pPr>
        <w:pStyle w:val="FirstParagraph"/>
      </w:pPr>
      <w:r>
        <w:t xml:space="preserve">Для исходящих:</w:t>
      </w:r>
    </w:p>
    <w:p>
      <w:pPr>
        <w:numPr>
          <w:numId w:val="1036"/>
          <w:ilvl w:val="0"/>
        </w:numPr>
      </w:pPr>
      <w:r>
        <w:rPr>
          <w:rStyle w:val="VerbatimChar"/>
        </w:rPr>
        <w:t xml:space="preserve">from</w:t>
      </w:r>
      <w:r>
        <w:t xml:space="preserve"> </w:t>
      </w:r>
      <w:r>
        <w:t xml:space="preserve">(memberID вашего контрагента, полученного от администратора ЦОД, после добавления вашего контрагента в справочники ЕНСИ*)</w:t>
      </w:r>
    </w:p>
    <w:p>
      <w:pPr>
        <w:numPr>
          <w:numId w:val="1036"/>
          <w:ilvl w:val="0"/>
        </w:numPr>
      </w:pPr>
      <w:r>
        <w:rPr>
          <w:rStyle w:val="VerbatimChar"/>
        </w:rPr>
        <w:t xml:space="preserve">senderOrg</w:t>
      </w:r>
      <w:r>
        <w:t xml:space="preserve"> </w:t>
      </w:r>
      <w:r>
        <w:t xml:space="preserve">(senderOrg вашего контрагента, полученного от администратора ЦОД, после добавления вашего контрагента в справочники ЕНСИ*)</w:t>
      </w:r>
    </w:p>
    <w:p>
      <w:pPr>
        <w:pStyle w:val="FirstParagraph"/>
      </w:pPr>
      <w:r>
        <w:t xml:space="preserve">Для входящих:</w:t>
      </w:r>
    </w:p>
    <w:p>
      <w:pPr>
        <w:numPr>
          <w:numId w:val="1037"/>
          <w:ilvl w:val="0"/>
        </w:numPr>
      </w:pPr>
      <w:r>
        <w:rPr>
          <w:rStyle w:val="VerbatimChar"/>
        </w:rPr>
        <w:t xml:space="preserve">notif_from</w:t>
      </w:r>
      <w:r>
        <w:t xml:space="preserve"> </w:t>
      </w:r>
      <w:r>
        <w:t xml:space="preserve">(memberID вашего контрагента, полученного от администратора ЦОД, после добавления вашего контрагента в справочники ЕНСИ*)</w:t>
      </w:r>
    </w:p>
    <w:p>
      <w:pPr>
        <w:numPr>
          <w:numId w:val="1037"/>
          <w:ilvl w:val="0"/>
        </w:numPr>
      </w:pPr>
      <w:r>
        <w:rPr>
          <w:rStyle w:val="VerbatimChar"/>
        </w:rPr>
        <w:t xml:space="preserve">notif_senderOrg</w:t>
      </w:r>
      <w:r>
        <w:t xml:space="preserve"> </w:t>
      </w:r>
      <w:r>
        <w:t xml:space="preserve">(senderOrg вашего контрагента, полученного от администратора ЦОД, после добавления вашего контрагента в справочники ЕНСИ*)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Для добавления вашего контрагента в справочники ЕНСИ необходимо обратиться в ДРП</w:t>
      </w:r>
    </w:p>
    <w:bookmarkEnd w:id="58"/>
    <w:bookmarkEnd w:id="59"/>
    <w:p>
      <w:pPr>
        <w:pStyle w:val="BodyText"/>
      </w:pPr>
      <w:bookmarkStart w:id="60" w:name="genindex.xhtml"/>
      <w:bookmarkEnd w:id="60"/>
    </w:p>
    <w:p>
      <w:pPr>
        <w:pStyle w:val="Heading1"/>
      </w:pPr>
      <w:bookmarkStart w:id="61" w:name="genindex.xhtml#index"/>
      <w:r>
        <w:t xml:space="preserve">Алфавитный указатель</w:t>
      </w:r>
      <w:bookmarkEnd w:id="61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b3cbbdee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5">
    <w:nsid w:val="4fbe019a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91a27d85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9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20">
    <w:abstractNumId w:val="9920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36">
    <w:abstractNumId w:val="991"/>
  </w:num>
  <w:num w:numId="103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://rtd.lan.arta.kz/docs/guide/ru/minsky/" TargetMode="External" /><Relationship Type="http://schemas.openxmlformats.org/officeDocument/2006/relationships/hyperlink" Id="rId39" Target="http://rtd.lan.arta.kz/docs/synergy-apps/ru/latest/settings.html" TargetMode="External" /><Relationship Type="http://schemas.openxmlformats.org/officeDocument/2006/relationships/hyperlink" Id="rId28" Target="http://rtd.lan.arta.kz/docs/workflow-custom-manual/ru/latest/Product_structure.html" TargetMode="External" /><Relationship Type="http://schemas.openxmlformats.org/officeDocument/2006/relationships/hyperlink" Id="rId26" Target="http://rtd.lan.arta.kz/docs/workflow-custom-manual/ru/latest/install-manual.html" TargetMode="External" /><Relationship Type="http://schemas.openxmlformats.org/officeDocument/2006/relationships/hyperlink" Id="rId40" Target="http://rtd.lan.arta.kz/docs/workflow-custom-manual/ru/workflow-2.15/First_configuration.html" TargetMode="External" /><Relationship Type="http://schemas.openxmlformats.org/officeDocument/2006/relationships/hyperlink" Id="rId46" Target="http://tdd.lan.arta.kz/docs/synergy/tags/minsky/admin-manual/html/EDI.html#EDI.settings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Relationship Type="http://schemas.openxmlformats.org/officeDocument/2006/relationships/hyperlink" Id="rId45" Target="http://tdd.lan.arta.kz/docs/synergy/tags/minsky/admin-manual/html/s_settings.html#s_settings.notifications" TargetMode="External" /><Relationship Type="http://schemas.openxmlformats.org/officeDocument/2006/relationships/hyperlink" Id="rId44" Target="https://synergy.arta.pro/lms/main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rtd.lan.arta.kz/docs/guide/ru/minsky/" TargetMode="External" /><Relationship Type="http://schemas.openxmlformats.org/officeDocument/2006/relationships/hyperlink" Id="rId39" Target="http://rtd.lan.arta.kz/docs/synergy-apps/ru/latest/settings.html" TargetMode="External" /><Relationship Type="http://schemas.openxmlformats.org/officeDocument/2006/relationships/hyperlink" Id="rId28" Target="http://rtd.lan.arta.kz/docs/workflow-custom-manual/ru/latest/Product_structure.html" TargetMode="External" /><Relationship Type="http://schemas.openxmlformats.org/officeDocument/2006/relationships/hyperlink" Id="rId26" Target="http://rtd.lan.arta.kz/docs/workflow-custom-manual/ru/latest/install-manual.html" TargetMode="External" /><Relationship Type="http://schemas.openxmlformats.org/officeDocument/2006/relationships/hyperlink" Id="rId40" Target="http://rtd.lan.arta.kz/docs/workflow-custom-manual/ru/workflow-2.15/First_configuration.html" TargetMode="External" /><Relationship Type="http://schemas.openxmlformats.org/officeDocument/2006/relationships/hyperlink" Id="rId46" Target="http://tdd.lan.arta.kz/docs/synergy/tags/minsky/admin-manual/html/EDI.html#EDI.settings" TargetMode="External" /><Relationship Type="http://schemas.openxmlformats.org/officeDocument/2006/relationships/hyperlink" Id="rId36" Target="http://tdd.lan.arta.kz/docs/synergy/tags/minsky/admin-manual/html/install-and-setup.html#install-and-setup.install" TargetMode="External" /><Relationship Type="http://schemas.openxmlformats.org/officeDocument/2006/relationships/hyperlink" Id="rId45" Target="http://tdd.lan.arta.kz/docs/synergy/tags/minsky/admin-manual/html/s_settings.html#s_settings.notifications" TargetMode="External" /><Relationship Type="http://schemas.openxmlformats.org/officeDocument/2006/relationships/hyperlink" Id="rId44" Target="https://synergy.arta.pro/lms/mai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Руководство по внедрению Synergy Workflow 2.18</dc:title>
  <dc:creator>unknown</dc:creator>
  <cp:keywords/>
  <dcterms:created xsi:type="dcterms:W3CDTF">2023-08-04T11:23:57Z</dcterms:created>
  <dcterms:modified xsi:type="dcterms:W3CDTF">2023-08-04T11:23:57Z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