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Workflow 2.15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2023-06-23T07:11:31Z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Workflow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p>
      <w:pPr>
        <w:pStyle w:val="Compact"/>
        <w:numPr>
          <w:numId w:val="1001"/>
          <w:ilvl w:val="0"/>
        </w:numPr>
      </w:pPr>
      <w:hyperlink w:anchor="sdecAdapter.xhtml">
        <w:r>
          <w:rPr>
            <w:rStyle w:val="Hyperlink"/>
          </w:rPr>
          <w:t xml:space="preserve">6. Инструкция по установке SdecAdapter (для интеграции с ЕСЭДО)</w:t>
        </w:r>
      </w:hyperlink>
    </w:p>
    <w:p>
      <w:pPr>
        <w:pStyle w:val="Compact"/>
        <w:numPr>
          <w:numId w:val="1005"/>
          <w:ilvl w:val="1"/>
        </w:numPr>
      </w:pPr>
      <w:hyperlink w:anchor="sdecAdapter.xhtml#id1">
        <w:r>
          <w:rPr>
            <w:rStyle w:val="Hyperlink"/>
          </w:rPr>
          <w:t xml:space="preserve">6.1. Подключение репозиториев</w:t>
        </w:r>
      </w:hyperlink>
    </w:p>
    <w:p>
      <w:pPr>
        <w:pStyle w:val="Compact"/>
        <w:numPr>
          <w:numId w:val="1005"/>
          <w:ilvl w:val="1"/>
        </w:numPr>
      </w:pPr>
      <w:hyperlink w:anchor="sdecAdapter.xhtml#id2">
        <w:r>
          <w:rPr>
            <w:rStyle w:val="Hyperlink"/>
          </w:rPr>
          <w:t xml:space="preserve">6.2. Установка приложения</w:t>
        </w:r>
      </w:hyperlink>
    </w:p>
    <w:p>
      <w:pPr>
        <w:pStyle w:val="Compact"/>
        <w:numPr>
          <w:numId w:val="1005"/>
          <w:ilvl w:val="1"/>
        </w:numPr>
      </w:pPr>
      <w:hyperlink w:anchor="sdecAdapter.xhtml#id3">
        <w:r>
          <w:rPr>
            <w:rStyle w:val="Hyperlink"/>
          </w:rPr>
          <w:t xml:space="preserve">6.3. Первичная настройка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[http://rtd.lan.arta.kz/docs/workflow-custom-manual/ru/latest/install-manual.html]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[http://rtd.lan.arta.kz/docs/workflow-custom-manual/ru/latest/Product_structure.html]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[http://rtd.lan.arta.kz/docs/guide/ru/hamming/]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(канцелярия, отдел кадров, исполнители, руководители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 (см. Шаг 6)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2" w:name="install-manual.xhtml#arta-synergy-workflow"/>
    <w:p>
      <w:pPr>
        <w:pStyle w:val="Heading1"/>
      </w:pPr>
      <w:r>
        <w:t xml:space="preserve">3. Инструкция по установке Arta Synergy Workflow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1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arta-synergy-apps-workflow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Workflow,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Workflow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);</w:t>
      </w:r>
    </w:p>
    <w:p>
      <w:pPr>
        <w:pStyle w:val="BlockText"/>
        <w:numPr>
          <w:numId w:val="1014"/>
          <w:ilvl w:val="1"/>
        </w:numPr>
      </w:pPr>
      <w:r>
        <w:t xml:space="preserve">ввести последовательно логин и пароль Системного пользователя;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 MySQL.</w:t>
      </w:r>
    </w:p>
    <w:p>
      <w:pPr>
        <w:pStyle w:val="FirstParagraph"/>
      </w:pPr>
      <w:r>
        <w:t xml:space="preserve">Начиная с версии workflow-2.12 вместе с приложением workflow также устранавливаются приложения SynergyApp (пакет arta-synergy-apps-basement) - надстройка, которая позволяет использовать на одном стенде несколько приложений (модулей), а также приложение registry - для работы с Реестрами.</w:t>
      </w:r>
    </w:p>
    <w:p>
      <w:pPr>
        <w:pStyle w:val="BodyText"/>
      </w:pPr>
      <w:r>
        <w:t xml:space="preserve">Примечание</w:t>
      </w:r>
    </w:p>
    <w:p>
      <w:pPr>
        <w:numPr>
          <w:numId w:val="1015"/>
          <w:ilvl w:val="0"/>
        </w:numPr>
      </w:pPr>
      <w:r>
        <w:t xml:space="preserve">После установки приложения необходимо зайти в Конструктор и для всех связанных приложений (</w:t>
      </w:r>
      <w:r>
        <w:rPr>
          <w:i/>
        </w:rPr>
        <w:t xml:space="preserve">workflow - Потоки работ, registry - Реестры, contracts - Договоры, basement - Synergy App</w:t>
      </w:r>
      <w:r>
        <w:t xml:space="preserve">) в свойствах указать логин и пароль служебного пользователя с правами администратора.</w:t>
      </w:r>
    </w:p>
    <w:p>
      <w:pPr>
        <w:pStyle w:val="FirstParagraph"/>
      </w:pPr>
      <w:r>
        <w:t xml:space="preserve">Если есть необходимость добавить в synergyApp другие приложения (модули) - смотрите</w:t>
      </w:r>
      <w:r>
        <w:t xml:space="preserve"> </w:t>
      </w:r>
      <w:hyperlink r:id="rId39">
        <w:r>
          <w:rPr>
            <w:rStyle w:val="Hyperlink"/>
          </w:rPr>
          <w:t xml:space="preserve">Инструкцию по настройке SynergyApp</w:t>
        </w:r>
      </w:hyperlink>
      <w:r>
        <w:t xml:space="preserve"> </w:t>
      </w:r>
      <w:r>
        <w:t xml:space="preserve">[http://rtd.lan.arta.kz/docs/synergy-apps/ru/latest/settings.html]</w:t>
      </w:r>
    </w:p>
    <w:p>
      <w:pPr>
        <w:pStyle w:val="BodyText"/>
      </w:pPr>
      <w:r>
        <w:t xml:space="preserve">После установки приложения workflow обязательно выполнить пункты (</w:t>
      </w:r>
      <w:hyperlink r:id="rId40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[http://rtd.lan.arta.kz/docs/workflow-custom-manual/ru/workflow-2.15/First_configuration.html]</w:t>
      </w:r>
      <w:r>
        <w:t xml:space="preserve">)</w:t>
      </w:r>
    </w:p>
    <w:bookmarkEnd w:id="41"/>
    <w:bookmarkEnd w:id="42"/>
    <w:p>
      <w:pPr>
        <w:pStyle w:val="BodyText"/>
      </w:pPr>
      <w:bookmarkStart w:id="43" w:name="First_configuration.xhtml"/>
      <w:bookmarkEnd w:id="43"/>
    </w:p>
    <w:bookmarkStart w:id="47" w:name="First_configuration.xhtml#id1"/>
    <w:p>
      <w:pPr>
        <w:pStyle w:val="Heading1"/>
      </w:pPr>
      <w:r>
        <w:t xml:space="preserve">4. Инструкция по первичной настройке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Сортудник канцелярии</w:t>
      </w:r>
    </w:p>
    <w:p>
      <w:pPr>
        <w:numPr>
          <w:numId w:val="1017"/>
          <w:ilvl w:val="0"/>
        </w:numPr>
      </w:pPr>
      <w:r>
        <w:t xml:space="preserve">Сотрудник отдела кадров (для внедрения процесса Кадрового Делопроизводства)</w:t>
      </w:r>
    </w:p>
    <w:p>
      <w:pPr>
        <w:numPr>
          <w:numId w:val="1018"/>
          <w:ilvl w:val="0"/>
        </w:numPr>
      </w:pPr>
      <w:r>
        <w:t xml:space="preserve">Раздать права на реестры и журналы согласно указанным ролям</w:t>
      </w:r>
    </w:p>
    <w:p>
      <w:pPr>
        <w:numPr>
          <w:numId w:val="1018"/>
          <w:ilvl w:val="0"/>
        </w:numPr>
      </w:pPr>
      <w:r>
        <w:t xml:space="preserve">Настроить формы согласно внутренним потребностям компании</w:t>
      </w:r>
    </w:p>
    <w:p>
      <w:pPr>
        <w:pStyle w:val="FirstParagraph"/>
      </w:pPr>
      <w:r>
        <w:rPr>
          <w:i/>
        </w:rPr>
        <w:t xml:space="preserve">Прим. В текущей конфигурации на формах приказов и трудовых договоров</w:t>
      </w:r>
      <w:r>
        <w:rPr>
          <w:i/>
        </w:rPr>
        <w:t xml:space="preserve"> </w:t>
      </w:r>
      <w:r>
        <w:rPr>
          <w:i/>
        </w:rPr>
        <w:t xml:space="preserve">присутствуют компоненты Должности и ФИО руководителя организации (от имени которого запускаются приказы).</w:t>
      </w:r>
      <w:r>
        <w:rPr>
          <w:i/>
        </w:rPr>
        <w:t xml:space="preserve"> </w:t>
      </w:r>
      <w:r>
        <w:rPr>
          <w:i/>
        </w:rPr>
        <w:t xml:space="preserve">Их необхоидмо заполнить соответствующими значениями)</w:t>
      </w:r>
    </w:p>
    <w:p>
      <w:pPr>
        <w:numPr>
          <w:numId w:val="1019"/>
          <w:ilvl w:val="0"/>
        </w:numPr>
      </w:pPr>
      <w:r>
        <w:t xml:space="preserve">Настроить маршруты реестров согласно внутренним потребностям компании.</w:t>
      </w:r>
    </w:p>
    <w:p>
      <w:pPr>
        <w:pStyle w:val="FirstParagraph"/>
      </w:pPr>
      <w:r>
        <w:rPr>
          <w:i/>
        </w:rPr>
        <w:t xml:space="preserve">Настройка форм и маршрутов осуществляется в конфигураторе платформы. Для подробной инструкции обратитесь к обучающим курсам по платформе.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Рекомендуем пройти обучающией курсы</w:t>
      </w:r>
      <w:r>
        <w:t xml:space="preserve"> </w:t>
      </w:r>
      <w:hyperlink r:id="rId44">
        <w:r>
          <w:rPr>
            <w:rStyle w:val="Hyperlink"/>
          </w:rPr>
          <w:t xml:space="preserve">SD03 и SD04</w:t>
        </w:r>
      </w:hyperlink>
      <w:r>
        <w:t xml:space="preserve"> </w:t>
      </w:r>
      <w:r>
        <w:t xml:space="preserve">[https://synergy.arta.pro/lms/main.html]</w:t>
      </w:r>
    </w:p>
    <w:p>
      <w:pPr>
        <w:numPr>
          <w:numId w:val="1020"/>
          <w:ilvl w:val="0"/>
        </w:numPr>
      </w:pPr>
      <w:r>
        <w:t xml:space="preserve">Для корректной работы модуля «Договоры» необходимо: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5">
        <w:r>
          <w:rPr>
            <w:rStyle w:val="Hyperlink"/>
          </w:rPr>
          <w:t xml:space="preserve">отправку уведомлений</w:t>
        </w:r>
      </w:hyperlink>
      <w:r>
        <w:t xml:space="preserve"> </w:t>
      </w:r>
      <w:r>
        <w:t xml:space="preserve">[http://tdd.lan.arta.kz/docs/synergy/tags/minsky/admin-manual/html/s_settings.html#s_settings.notifications]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6">
        <w:r>
          <w:rPr>
            <w:rStyle w:val="Hyperlink"/>
          </w:rPr>
          <w:t xml:space="preserve">ЭЦП</w:t>
        </w:r>
      </w:hyperlink>
      <w:r>
        <w:t xml:space="preserve"> </w:t>
      </w:r>
      <w:r>
        <w:t xml:space="preserve">[http://tdd.lan.arta.kz/docs/synergy/tags/minsky/admin-manual/html/EDI.html#EDI.settings]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 блокирующих процессах</w:t>
      </w:r>
      <w:r>
        <w:t xml:space="preserve"> </w:t>
      </w:r>
      <w:r>
        <w:rPr>
          <w:rStyle w:val="VerbatimChar"/>
        </w:rPr>
        <w:t xml:space="preserve">event.blocking.interpreter.counterparty.create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event.blocking.interpreter.counterparty.notification</w:t>
      </w:r>
      <w:r>
        <w:t xml:space="preserve"> </w:t>
      </w:r>
      <w:r>
        <w:t xml:space="preserve">в переменной</w:t>
      </w:r>
      <w:r>
        <w:t xml:space="preserve"> </w:t>
      </w:r>
      <w:r>
        <w:rPr>
          <w:rStyle w:val="VerbatimChar"/>
        </w:rPr>
        <w:t xml:space="preserve">cabinetHost</w:t>
      </w:r>
      <w:r>
        <w:t xml:space="preserve"> </w:t>
      </w:r>
      <w:r>
        <w:t xml:space="preserve">указать актуальный адрес (он будет указываться в уведомлениях для контрагентов);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</w:t>
      </w:r>
      <w:r>
        <w:t xml:space="preserve"> </w:t>
      </w:r>
      <w:r>
        <w:t xml:space="preserve">настроен для работы с реестром Договоры (ссылка на контрагента, номер, дата, срок действия договора). Для работы с другим реестром необходимо указать в БП соотвествующие поля другого реестра;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</w:t>
      </w:r>
      <w:r>
        <w:t xml:space="preserve"> </w:t>
      </w:r>
      <w:r>
        <w:t xml:space="preserve">необходимо поставить в маршрут договора перед этапом отправки договора на согласование контрагенту;</w:t>
      </w:r>
    </w:p>
    <w:p>
      <w:pPr>
        <w:numPr>
          <w:numId w:val="1021"/>
          <w:ilvl w:val="0"/>
        </w:numPr>
      </w:pPr>
      <w:r>
        <w:t xml:space="preserve">создать группу с кодом</w:t>
      </w:r>
      <w:r>
        <w:t xml:space="preserve"> </w:t>
      </w:r>
      <w:r>
        <w:rPr>
          <w:rStyle w:val="VerbatimChar"/>
        </w:rPr>
        <w:t xml:space="preserve">workflow_group_counterparties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создать в оргструктуре должность с кодом</w:t>
      </w:r>
      <w:r>
        <w:t xml:space="preserve"> </w:t>
      </w:r>
      <w:r>
        <w:rPr>
          <w:rStyle w:val="VerbatimChar"/>
        </w:rPr>
        <w:t xml:space="preserve">counterparties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внести контрагентов в реестре Контрагенты (</w:t>
      </w:r>
      <w:r>
        <w:rPr>
          <w:rStyle w:val="VerbatimChar"/>
        </w:rPr>
        <w:t xml:space="preserve">workflow_registry_clients</w:t>
      </w:r>
      <w:r>
        <w:t xml:space="preserve">);</w:t>
      </w:r>
    </w:p>
    <w:p>
      <w:pPr>
        <w:pStyle w:val="DefinitionTerm"/>
        <w:numPr>
          <w:numId w:val="1021"/>
          <w:ilvl w:val="0"/>
        </w:numPr>
      </w:pPr>
      <w:r>
        <w:t xml:space="preserve">для реестра</w:t>
      </w:r>
      <w:r>
        <w:t xml:space="preserve"> </w:t>
      </w:r>
      <w:r>
        <w:rPr>
          <w:b/>
        </w:rPr>
        <w:t xml:space="preserve">Мои документы</w:t>
      </w:r>
      <w:r>
        <w:t xml:space="preserve"> </w:t>
      </w:r>
      <w:r>
        <w:t xml:space="preserve">(код</w:t>
      </w:r>
      <w:r>
        <w:t xml:space="preserve"> </w:t>
      </w:r>
      <w:r>
        <w:rPr>
          <w:rStyle w:val="VerbatimChar"/>
        </w:rPr>
        <w:t xml:space="preserve">workflow_registry_my_docs</w:t>
      </w:r>
      <w:r>
        <w:t xml:space="preserve">) настроить фильтры и права на них для контрагентов: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Все</w:t>
      </w:r>
      <w:r>
        <w:t xml:space="preserve"> </w:t>
      </w:r>
      <w:r>
        <w:rPr>
          <w:rStyle w:val="VerbatimChar"/>
        </w:rPr>
        <w:t xml:space="preserve">workflow_registry_my_docs_filter_all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Без подписи</w:t>
      </w:r>
      <w:r>
        <w:t xml:space="preserve"> </w:t>
      </w:r>
      <w:r>
        <w:rPr>
          <w:rStyle w:val="VerbatimChar"/>
        </w:rPr>
        <w:t xml:space="preserve">workflow_registry_my_docs_filter_unsigned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«Без подписи»;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Подписан</w:t>
      </w:r>
      <w:r>
        <w:t xml:space="preserve"> </w:t>
      </w:r>
      <w:r>
        <w:rPr>
          <w:rStyle w:val="VerbatimChar"/>
        </w:rPr>
        <w:t xml:space="preserve">workflow_registry_my_docs_filter_signed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«Подписан»;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Отклонен</w:t>
      </w:r>
      <w:r>
        <w:t xml:space="preserve"> </w:t>
      </w:r>
      <w:r>
        <w:rPr>
          <w:rStyle w:val="VerbatimChar"/>
        </w:rPr>
        <w:t xml:space="preserve">workflow_registry_my_docs_filter_declined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«Отклонен».</w:t>
      </w:r>
    </w:p>
    <w:bookmarkEnd w:id="47"/>
    <w:p>
      <w:pPr>
        <w:pStyle w:val="FirstParagraph"/>
      </w:pPr>
      <w:bookmarkStart w:id="48" w:name="Product_structure.xhtml"/>
      <w:bookmarkEnd w:id="48"/>
    </w:p>
    <w:bookmarkStart w:id="50" w:name="Product_structure.xhtml#id1"/>
    <w:p>
      <w:pPr>
        <w:pStyle w:val="Heading1"/>
      </w:pPr>
      <w:r>
        <w:t xml:space="preserve">5. Структура продукта</w:t>
      </w:r>
    </w:p>
    <w:bookmarkStart w:id="49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Workflow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Workflow реализованы следующие глобальные процессы и их подпроцессы:</w:t>
      </w:r>
    </w:p>
    <w:p>
      <w:pPr>
        <w:pStyle w:val="DefinitionTerm"/>
        <w:numPr>
          <w:numId w:val="1023"/>
          <w:ilvl w:val="0"/>
        </w:numPr>
      </w:pPr>
      <w:r>
        <w:t xml:space="preserve">Контроль поручений</w:t>
      </w:r>
    </w:p>
    <w:p>
      <w:pPr>
        <w:pStyle w:val="Definition"/>
        <w:numPr>
          <w:numId w:val="1024"/>
          <w:ilvl w:val="1"/>
        </w:numPr>
      </w:pPr>
      <w:r>
        <w:t xml:space="preserve">Управление поручениями (работами)</w:t>
      </w:r>
    </w:p>
    <w:p>
      <w:pPr>
        <w:pStyle w:val="Definition"/>
        <w:numPr>
          <w:numId w:val="1024"/>
          <w:ilvl w:val="1"/>
        </w:numPr>
      </w:pPr>
      <w:r>
        <w:t xml:space="preserve">Управление протоколами совещаний</w:t>
      </w:r>
    </w:p>
    <w:p>
      <w:pPr>
        <w:pStyle w:val="DefinitionTerm"/>
        <w:numPr>
          <w:numId w:val="1023"/>
          <w:ilvl w:val="0"/>
        </w:numPr>
      </w:pPr>
      <w:r>
        <w:t xml:space="preserve">Документооборот</w:t>
      </w:r>
    </w:p>
    <w:p>
      <w:pPr>
        <w:pStyle w:val="Definition"/>
        <w:numPr>
          <w:numId w:val="1025"/>
          <w:ilvl w:val="1"/>
        </w:numPr>
      </w:pPr>
      <w:r>
        <w:t xml:space="preserve">Входящая корреспонденция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Исходящая корреспонеденция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Резолюции и контроль исполнения документов</w:t>
      </w:r>
    </w:p>
    <w:p>
      <w:pPr>
        <w:pStyle w:val="Definition"/>
        <w:numPr>
          <w:numId w:val="1025"/>
          <w:ilvl w:val="1"/>
        </w:numPr>
      </w:pPr>
      <w:r>
        <w:t xml:space="preserve">Архив (5 номенклатурных дел)</w:t>
      </w:r>
    </w:p>
    <w:p>
      <w:pPr>
        <w:pStyle w:val="Definition"/>
        <w:numPr>
          <w:numId w:val="1025"/>
          <w:ilvl w:val="1"/>
        </w:numPr>
      </w:pPr>
      <w:r>
        <w:t xml:space="preserve">Внутрення переписка (1 журнал регистрации, 1 форма и реестр служебных записок)</w:t>
      </w:r>
    </w:p>
    <w:p>
      <w:pPr>
        <w:pStyle w:val="DefinitionTerm"/>
        <w:numPr>
          <w:numId w:val="1023"/>
          <w:ilvl w:val="0"/>
        </w:numPr>
      </w:pPr>
      <w:r>
        <w:t xml:space="preserve">Кадровое делопроизводство</w:t>
      </w:r>
    </w:p>
    <w:p>
      <w:pPr>
        <w:pStyle w:val="Definition"/>
        <w:numPr>
          <w:numId w:val="1026"/>
          <w:ilvl w:val="1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Definition"/>
        <w:numPr>
          <w:numId w:val="1026"/>
          <w:ilvl w:val="1"/>
        </w:numPr>
      </w:pPr>
      <w:r>
        <w:t xml:space="preserve">Перевод (1 форма и реестр служебных записок на перевод ,1 форма и реестр приказов на перевод)</w:t>
      </w:r>
    </w:p>
    <w:p>
      <w:pPr>
        <w:pStyle w:val="Definition"/>
        <w:numPr>
          <w:numId w:val="1026"/>
          <w:ilvl w:val="1"/>
        </w:numPr>
      </w:pPr>
      <w:r>
        <w:t xml:space="preserve">Увольнения (1 форма и реестр заявлений на увольнение ,1 форма и реестр приказов на увольнение)</w:t>
      </w:r>
    </w:p>
    <w:p>
      <w:pPr>
        <w:pStyle w:val="Definition"/>
        <w:numPr>
          <w:numId w:val="1026"/>
          <w:ilvl w:val="1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Definition"/>
        <w:numPr>
          <w:numId w:val="1026"/>
          <w:ilvl w:val="1"/>
        </w:numPr>
      </w:pPr>
      <w:r>
        <w:t xml:space="preserve">Командирования (1 форма и реестр служебных записок на командирование ,1 форма и реестр приказов на командирование)</w:t>
      </w:r>
    </w:p>
    <w:p>
      <w:pPr>
        <w:pStyle w:val="Definition"/>
        <w:numPr>
          <w:numId w:val="1026"/>
          <w:ilvl w:val="1"/>
        </w:numPr>
      </w:pPr>
      <w:r>
        <w:t xml:space="preserve">Штатное расписания, расстановка, кадровый резерв</w:t>
      </w:r>
    </w:p>
    <w:p>
      <w:pPr>
        <w:pStyle w:val="Definition"/>
        <w:numPr>
          <w:numId w:val="1026"/>
          <w:ilvl w:val="1"/>
        </w:numPr>
      </w:pPr>
      <w:r>
        <w:t xml:space="preserve">Ведение личных дел/личных карточек по сотрудникам.»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workflow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contracts</w:t>
      </w:r>
      <w:r>
        <w:t xml:space="preserve"> </w:t>
      </w:r>
      <w:r>
        <w:t xml:space="preserve">- Договора и контрагенты</w:t>
      </w:r>
    </w:p>
    <w:p>
      <w:pPr>
        <w:pStyle w:val="Definition"/>
        <w:numPr>
          <w:numId w:val="1028"/>
          <w:ilvl w:val="1"/>
        </w:numPr>
      </w:pPr>
      <w:r>
        <w:rPr>
          <w:rStyle w:val="VerbatimChar"/>
        </w:rPr>
        <w:t xml:space="preserve">сontract_dicts</w:t>
      </w:r>
      <w:r>
        <w:t xml:space="preserve"> </w:t>
      </w:r>
      <w:r>
        <w:t xml:space="preserve">- справочники, используемые в формах договоров и контрагентов</w:t>
      </w:r>
    </w:p>
    <w:p>
      <w:pPr>
        <w:pStyle w:val="Definition"/>
        <w:numPr>
          <w:numId w:val="1028"/>
          <w:ilvl w:val="1"/>
        </w:numPr>
      </w:pPr>
      <w:r>
        <w:t xml:space="preserve">Формы, реестры договоров</w:t>
      </w:r>
    </w:p>
    <w:p>
      <w:pPr>
        <w:pStyle w:val="Definition"/>
        <w:numPr>
          <w:numId w:val="1028"/>
          <w:ilvl w:val="1"/>
        </w:numPr>
      </w:pPr>
      <w:r>
        <w:t xml:space="preserve">Формы, реестры контрагентов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docflow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сounters</w:t>
      </w:r>
      <w:r>
        <w:t xml:space="preserve"> </w:t>
      </w:r>
      <w:r>
        <w:t xml:space="preserve">- счетчики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document_registers</w:t>
      </w:r>
      <w:r>
        <w:t xml:space="preserve"> </w:t>
      </w:r>
      <w:r>
        <w:t xml:space="preserve">- журналы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document_types</w:t>
      </w:r>
      <w:r>
        <w:t xml:space="preserve"> </w:t>
      </w:r>
      <w:r>
        <w:t xml:space="preserve">- типы документов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number_templates</w:t>
      </w:r>
      <w:r>
        <w:t xml:space="preserve"> </w:t>
      </w:r>
      <w:r>
        <w:t xml:space="preserve">- шаблоны номеров</w:t>
      </w:r>
    </w:p>
    <w:p>
      <w:pPr>
        <w:numPr>
          <w:numId w:val="1027"/>
          <w:ilvl w:val="0"/>
        </w:numPr>
      </w:pPr>
      <w:r>
        <w:rPr>
          <w:rStyle w:val="VerbatimChar"/>
        </w:rPr>
        <w:t xml:space="preserve">groups</w:t>
      </w:r>
      <w:r>
        <w:t xml:space="preserve"> </w:t>
      </w:r>
      <w:r>
        <w:t xml:space="preserve">- Группы пользователей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hr_processes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buisness_trip</w:t>
      </w:r>
      <w:r>
        <w:t xml:space="preserve"> </w:t>
      </w:r>
      <w:r>
        <w:t xml:space="preserve">- справочники, формы, реестры процесса «Командирование»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firing</w:t>
      </w:r>
      <w:r>
        <w:t xml:space="preserve"> </w:t>
      </w:r>
      <w:r>
        <w:t xml:space="preserve">- справочники, формы, реестры процесса «Увольнение»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hiring</w:t>
      </w:r>
      <w:r>
        <w:t xml:space="preserve"> </w:t>
      </w:r>
      <w:r>
        <w:t xml:space="preserve">- справочники, формы, реестры процесса «Прием»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internal_notes</w:t>
      </w:r>
      <w:r>
        <w:t xml:space="preserve"> </w:t>
      </w:r>
      <w:r>
        <w:t xml:space="preserve">- справочники, формы, реестры процесса «Внутренняя служебная записка»</w:t>
      </w:r>
    </w:p>
    <w:p>
      <w:pPr>
        <w:pStyle w:val="DefinitionTerm"/>
        <w:pStyle w:val="Definition"/>
        <w:numPr>
          <w:numId w:val="1030"/>
          <w:ilvl w:val="1"/>
        </w:numPr>
      </w:pPr>
      <w:r>
        <w:rPr>
          <w:rStyle w:val="VerbatimChar"/>
        </w:rPr>
        <w:t xml:space="preserve">leaves</w:t>
      </w:r>
      <w:r>
        <w:t xml:space="preserve"> </w:t>
      </w:r>
      <w:r>
        <w:t xml:space="preserve">- «Отпуска»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leave</w:t>
      </w:r>
      <w:r>
        <w:t xml:space="preserve"> </w:t>
      </w:r>
      <w:r>
        <w:t xml:space="preserve">- справочники, формы, реестры процесса «Очередной трудовой отпуск»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social_leave</w:t>
      </w:r>
      <w:r>
        <w:t xml:space="preserve"> </w:t>
      </w:r>
      <w:r>
        <w:t xml:space="preserve">- справочники, формы, реестры процесса «Учебный отпуск», «ОБР», «ОУР»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unpaid_leave</w:t>
      </w:r>
      <w:r>
        <w:t xml:space="preserve"> </w:t>
      </w:r>
      <w:r>
        <w:t xml:space="preserve">- справочники, формы, реестры процесса «Неоплачиваемый отпуск»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transfer</w:t>
      </w:r>
      <w:r>
        <w:t xml:space="preserve"> </w:t>
      </w:r>
      <w:r>
        <w:t xml:space="preserve">- справочники, формы, реестры процесса «Перевод»</w:t>
      </w:r>
    </w:p>
    <w:bookmarkEnd w:id="49"/>
    <w:bookmarkEnd w:id="50"/>
    <w:p>
      <w:pPr>
        <w:pStyle w:val="FirstParagraph"/>
      </w:pPr>
      <w:bookmarkStart w:id="51" w:name="sdecAdapter.xhtml"/>
      <w:bookmarkEnd w:id="51"/>
    </w:p>
    <w:bookmarkStart w:id="55" w:name="sdecAdapter.xhtml#sdecadapter"/>
    <w:p>
      <w:pPr>
        <w:pStyle w:val="Heading1"/>
      </w:pPr>
      <w:r>
        <w:t xml:space="preserve">6. Инструкция по установке SdecAdapter (для интеграции с ЕСЭДО)</w:t>
      </w:r>
    </w:p>
    <w:bookmarkStart w:id="52" w:name="sdecAdapter.xhtml#id1"/>
    <w:p>
      <w:pPr>
        <w:pStyle w:val="Heading2"/>
      </w:pPr>
      <w:r>
        <w:t xml:space="preserve">6.1.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</w:t>
      </w:r>
    </w:p>
    <w:p>
      <w:pPr>
        <w:pStyle w:val="BodyText"/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  <w:r>
        <w:t xml:space="preserve"> </w:t>
      </w:r>
      <w:r>
        <w:rPr>
          <w:rStyle w:val="VerbatimChar"/>
        </w:rPr>
        <w:t xml:space="preserve">deb [allow-insecure=yes] http://deb.arta.kz/tengri          extensions         main contrib non-free</w:t>
      </w:r>
    </w:p>
    <w:bookmarkEnd w:id="52"/>
    <w:bookmarkStart w:id="53" w:name="sdecAdapter.xhtml#id2"/>
    <w:p>
      <w:pPr>
        <w:pStyle w:val="Heading2"/>
      </w:pPr>
      <w:r>
        <w:t xml:space="preserve">6.2.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arta-synergy-extensions-sdecadapter</w:t>
      </w:r>
    </w:p>
    <w:p>
      <w:pPr>
        <w:pStyle w:val="FirstParagraph"/>
      </w:pPr>
      <w:r>
        <w:t xml:space="preserve">Пакет SdecAdpater включает в себя:</w:t>
      </w:r>
    </w:p>
    <w:p>
      <w:pPr>
        <w:numPr>
          <w:numId w:val="1032"/>
          <w:ilvl w:val="0"/>
        </w:numPr>
      </w:pPr>
      <w:r>
        <w:t xml:space="preserve">Конфигурацию с необходимыми формами, реестрами, журналами</w:t>
      </w:r>
    </w:p>
    <w:p>
      <w:pPr>
        <w:numPr>
          <w:numId w:val="1032"/>
          <w:ilvl w:val="0"/>
        </w:numPr>
      </w:pPr>
      <w:r>
        <w:t xml:space="preserve">Модуль SdecAdapter для отправки документов и уведомлений в ЦОД SYNERGY - ЕСЭДО (размещается в /opt/synergy/jboss/standalone/deployments)</w:t>
      </w:r>
    </w:p>
    <w:p>
      <w:pPr>
        <w:numPr>
          <w:numId w:val="1032"/>
          <w:ilvl w:val="0"/>
        </w:numPr>
      </w:pPr>
      <w:r>
        <w:t xml:space="preserve">Конфигурационный файл настроек адаптера sdecAdapter.properties (размещается в /opt/synergy/jboss/standalone/configuration/arta)</w:t>
      </w:r>
    </w:p>
    <w:bookmarkEnd w:id="53"/>
    <w:bookmarkStart w:id="54" w:name="sdecAdapter.xhtml#id3"/>
    <w:p>
      <w:pPr>
        <w:pStyle w:val="Heading2"/>
      </w:pPr>
      <w:r>
        <w:t xml:space="preserve">6.3. Первичная настройка</w:t>
      </w:r>
    </w:p>
    <w:p>
      <w:pPr>
        <w:pStyle w:val="FirstParagraph"/>
      </w:pPr>
      <w:r>
        <w:t xml:space="preserve">После установки приложения обязательно выполнить пункты:</w:t>
      </w:r>
    </w:p>
    <w:p>
      <w:pPr>
        <w:numPr>
          <w:numId w:val="1033"/>
          <w:ilvl w:val="0"/>
        </w:numPr>
      </w:pPr>
      <w:r>
        <w:t xml:space="preserve">Прописать корректные настройки в конфигурационном файле sdecAdapter.properties (URL, логин, пароль)</w:t>
      </w:r>
    </w:p>
    <w:p>
      <w:pPr>
        <w:numPr>
          <w:numId w:val="1033"/>
          <w:ilvl w:val="0"/>
        </w:numPr>
      </w:pPr>
      <w:r>
        <w:t xml:space="preserve">Проверить наличие очередей в конфигурационных файлах (добавляются автоматически в ходе установки):</w:t>
      </w:r>
    </w:p>
    <w:p>
      <w:pPr>
        <w:pStyle w:val="FirstParagraph"/>
      </w:pPr>
      <w:r>
        <w:rPr>
          <w:rStyle w:val="VerbatimChar"/>
        </w:rPr>
        <w:t xml:space="preserve">/opt/synergy/jboss/standalone/configuration/standalone-onesynergy.xml</w:t>
      </w:r>
    </w:p>
    <w:p>
      <w:pPr>
        <w:pStyle w:val="SourceCode"/>
      </w:pPr>
      <w:r>
        <w:rPr>
          <w:rStyle w:val="VerbatimChar"/>
        </w:rPr>
        <w:t xml:space="preserve">&lt;jms-queue name="outgoingEmailQueue" entries="queue/outgoingEmailQueue java:jboss/queues/workflow/outgoingEmailQueue" durable="true"/&gt;</w:t>
      </w:r>
      <w:r>
        <w:br w:type="textWrapping"/>
      </w:r>
      <w:r>
        <w:rPr>
          <w:rStyle w:val="VerbatimChar"/>
        </w:rPr>
        <w:t xml:space="preserve">&lt;jms-queue name="ingoingEmailQueue" entries="queue/ingoingEmailQueue java:jboss/queues/workflow/ingoingEmailQueue" durable="true"/&gt;</w:t>
      </w:r>
      <w:r>
        <w:br w:type="textWrapping"/>
      </w:r>
      <w:r>
        <w:rPr>
          <w:rStyle w:val="VerbatimChar"/>
        </w:rPr>
        <w:t xml:space="preserve">&lt;jms-queue name="ingoingEmailQueueReject" entries="queue/ingoingEmailQueueReject java:jboss/queues/workflow/ingoingEmailQueueReject" durable="true"/&gt;</w:t>
      </w:r>
      <w:r>
        <w:br w:type="textWrapping"/>
      </w:r>
      <w:r>
        <w:rPr>
          <w:rStyle w:val="VerbatimChar"/>
        </w:rPr>
        <w:t xml:space="preserve">&lt;jms-queue name="ingoingEmailQueueRegistration" entries="queue/ingoingEmailQueueRegistration java:jboss/queues/workflow/ingoingEmailQueueRegistration" durable="true"/&gt;</w:t>
      </w:r>
    </w:p>
    <w:p>
      <w:pPr>
        <w:pStyle w:val="FirstParagraph"/>
      </w:pPr>
      <w:r>
        <w:rPr>
          <w:rStyle w:val="VerbatimChar"/>
        </w:rPr>
        <w:t xml:space="preserve">/opt/synergy/jboss/standalone/configuration/arta/api-observation-configuration.xml</w:t>
      </w:r>
    </w:p>
    <w:p>
      <w:pPr>
        <w:pStyle w:val="SourceCode"/>
      </w:pP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&lt;queue&gt;java:jboss/queues/workflow/outgoingEmailQueue&lt;/queue&gt;</w:t>
      </w:r>
      <w:r>
        <w:br w:type="textWrapping"/>
      </w:r>
      <w:r>
        <w:rPr>
          <w:rStyle w:val="VerbatimChar"/>
        </w:rPr>
        <w:t xml:space="preserve">    &lt;event&gt;event.sdecadapter.blocking.outgoing_registration&lt;/event&gt;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&lt;queue&gt;java:jboss/queues/workflow/ingoingEmailQueueRegistration&lt;/queue&gt;</w:t>
      </w:r>
      <w:r>
        <w:br w:type="textWrapping"/>
      </w:r>
      <w:r>
        <w:rPr>
          <w:rStyle w:val="VerbatimChar"/>
        </w:rPr>
        <w:t xml:space="preserve">    &lt;event&gt;event.sdecadapter.blocking.ingoing_registration&lt;/event&gt;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&lt;queue&gt;java:jboss/queues/workflow/ingoingEmailQueueReject&lt;/queue&gt;</w:t>
      </w:r>
      <w:r>
        <w:br w:type="textWrapping"/>
      </w:r>
      <w:r>
        <w:rPr>
          <w:rStyle w:val="VerbatimChar"/>
        </w:rPr>
        <w:t xml:space="preserve">    &lt;event&gt;event.sdecadapter.ingoing_reject&lt;/event&gt;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&lt;queue&gt;java:jboss/queues/workflow/ingoingEmailQueue&lt;/queue&gt;</w:t>
      </w:r>
      <w:r>
        <w:br w:type="textWrapping"/>
      </w:r>
      <w:r>
        <w:rPr>
          <w:rStyle w:val="VerbatimChar"/>
        </w:rPr>
        <w:t xml:space="preserve">    &lt;event&gt;event.docflow.document.*&lt;/event&gt;</w:t>
      </w:r>
      <w:r>
        <w:br w:type="textWrapping"/>
      </w:r>
      <w:r>
        <w:rPr>
          <w:rStyle w:val="VerbatimChar"/>
        </w:rPr>
        <w:t xml:space="preserve">&lt;/listener&gt;</w:t>
      </w:r>
    </w:p>
    <w:p>
      <w:pPr>
        <w:numPr>
          <w:numId w:val="1034"/>
          <w:ilvl w:val="0"/>
        </w:numPr>
      </w:pPr>
      <w:r>
        <w:t xml:space="preserve">Прописать на форме входящих и исходящих документов значения полей по-умолчанию:</w:t>
      </w:r>
    </w:p>
    <w:p>
      <w:pPr>
        <w:pStyle w:val="FirstParagraph"/>
      </w:pPr>
      <w:r>
        <w:t xml:space="preserve">Для исходящих:</w:t>
      </w:r>
    </w:p>
    <w:p>
      <w:pPr>
        <w:numPr>
          <w:numId w:val="1035"/>
          <w:ilvl w:val="0"/>
        </w:numPr>
      </w:pPr>
      <w:r>
        <w:rPr>
          <w:rStyle w:val="VerbatimChar"/>
        </w:rPr>
        <w:t xml:space="preserve">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5"/>
          <w:ilvl w:val="0"/>
        </w:numPr>
      </w:pPr>
      <w:r>
        <w:rPr>
          <w:rStyle w:val="VerbatimChar"/>
        </w:rPr>
        <w:t xml:space="preserve">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Для входящих:</w:t>
      </w:r>
    </w:p>
    <w:p>
      <w:pPr>
        <w:numPr>
          <w:numId w:val="1036"/>
          <w:ilvl w:val="0"/>
        </w:numPr>
      </w:pPr>
      <w:r>
        <w:rPr>
          <w:rStyle w:val="VerbatimChar"/>
        </w:rPr>
        <w:t xml:space="preserve">notif_from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6"/>
          <w:ilvl w:val="0"/>
        </w:numPr>
      </w:pPr>
      <w:r>
        <w:rPr>
          <w:rStyle w:val="VerbatimChar"/>
        </w:rPr>
        <w:t xml:space="preserve">notif_senderOrg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Для добавления вашего контрагента в справочники ЕНСИ необходимо обратиться в ДРП</w:t>
      </w:r>
    </w:p>
    <w:bookmarkEnd w:id="54"/>
    <w:bookmarkEnd w:id="55"/>
    <w:p>
      <w:pPr>
        <w:pStyle w:val="BodyText"/>
      </w:pPr>
      <w:bookmarkStart w:id="56" w:name="genindex.xhtml"/>
      <w:bookmarkEnd w:id="56"/>
    </w:p>
    <w:p>
      <w:pPr>
        <w:pStyle w:val="Heading1"/>
      </w:pPr>
      <w:bookmarkStart w:id="57" w:name="genindex.xhtml#index"/>
      <w:r>
        <w:t xml:space="preserve">Алфавитный указатель</w:t>
      </w:r>
      <w:bookmarkEnd w:id="5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4fbe019a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91a27d85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35">
    <w:abstractNumId w:val="991"/>
  </w:num>
  <w:num w:numId="103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hamming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Workflow 2.15</dc:title>
  <dc:creator>unknown</dc:creator>
  <cp:keywords/>
  <dcterms:created xsi:type="dcterms:W3CDTF">2023-06-23T12:11:32Z</dcterms:created>
  <dcterms:modified xsi:type="dcterms:W3CDTF">2023-06-23T12:11:32Z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