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Руководство по внедрению Synergy Service 1.0-alpha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2022-11-02T07:04:15Z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Назначение документа</w:t>
        </w:r>
      </w:hyperlink>
    </w:p>
    <w:p>
      <w:pPr>
        <w:pStyle w:val="Compact"/>
        <w:numPr>
          <w:numId w:val="1001"/>
          <w:ilvl w:val="0"/>
        </w:numPr>
      </w:pPr>
      <w:hyperlink w:anchor="methodology.xhtml">
        <w:r>
          <w:rPr>
            <w:rStyle w:val="Hyperlink"/>
          </w:rPr>
          <w:t xml:space="preserve">2. Методология внедрения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2">
        <w:r>
          <w:rPr>
            <w:rStyle w:val="Hyperlink"/>
          </w:rPr>
          <w:t xml:space="preserve">2.1. Получение ресурсов (боевого и тестового стенда)</w:t>
        </w:r>
      </w:hyperlink>
    </w:p>
    <w:p>
      <w:pPr>
        <w:pStyle w:val="Compact"/>
        <w:numPr>
          <w:numId w:val="1002"/>
          <w:ilvl w:val="1"/>
        </w:numPr>
      </w:pPr>
      <w:hyperlink w:anchor="methodology.xhtml#id3">
        <w:r>
          <w:rPr>
            <w:rStyle w:val="Hyperlink"/>
          </w:rPr>
          <w:t xml:space="preserve">2.2. Установка и настройка системы</w:t>
        </w:r>
      </w:hyperlink>
    </w:p>
    <w:p>
      <w:pPr>
        <w:pStyle w:val="Compact"/>
        <w:numPr>
          <w:numId w:val="1002"/>
          <w:ilvl w:val="1"/>
        </w:numPr>
      </w:pPr>
      <w:hyperlink w:anchor="methodology.xhtml#id5">
        <w:r>
          <w:rPr>
            <w:rStyle w:val="Hyperlink"/>
          </w:rPr>
          <w:t xml:space="preserve">2.3. Кастомизация процессов по факту выявленных пожеланий</w:t>
        </w:r>
      </w:hyperlink>
    </w:p>
    <w:p>
      <w:pPr>
        <w:pStyle w:val="Compact"/>
        <w:numPr>
          <w:numId w:val="1002"/>
          <w:ilvl w:val="1"/>
        </w:numPr>
      </w:pPr>
      <w:hyperlink w:anchor="methodology.xhtml#id8">
        <w:r>
          <w:rPr>
            <w:rStyle w:val="Hyperlink"/>
          </w:rPr>
          <w:t xml:space="preserve">2.4. Обучение сотрудников работе в системе</w:t>
        </w:r>
      </w:hyperlink>
    </w:p>
    <w:p>
      <w:pPr>
        <w:pStyle w:val="Compact"/>
        <w:numPr>
          <w:numId w:val="1002"/>
          <w:ilvl w:val="1"/>
        </w:numPr>
      </w:pPr>
      <w:hyperlink w:anchor="methodology.xhtml#id9">
        <w:r>
          <w:rPr>
            <w:rStyle w:val="Hyperlink"/>
          </w:rPr>
          <w:t xml:space="preserve">2.5. Опытная эксплуатация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10">
        <w:r>
          <w:rPr>
            <w:rStyle w:val="Hyperlink"/>
          </w:rPr>
          <w:t xml:space="preserve">2.6. Запуск в промышленную эксплуатацию</w:t>
        </w:r>
      </w:hyperlink>
    </w:p>
    <w:p>
      <w:pPr>
        <w:pStyle w:val="Compact"/>
        <w:numPr>
          <w:numId w:val="1001"/>
          <w:ilvl w:val="0"/>
        </w:numPr>
      </w:pPr>
      <w:hyperlink w:anchor="install-manual.xhtml">
        <w:r>
          <w:rPr>
            <w:rStyle w:val="Hyperlink"/>
          </w:rPr>
          <w:t xml:space="preserve">3. Инструкция по установке Arta Synergy Service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1">
        <w:r>
          <w:rPr>
            <w:rStyle w:val="Hyperlink"/>
          </w:rPr>
          <w:t xml:space="preserve">3.1. Предварительные требования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3">
        <w:r>
          <w:rPr>
            <w:rStyle w:val="Hyperlink"/>
          </w:rPr>
          <w:t xml:space="preserve">3.2. Подключение репозиториев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4">
        <w:r>
          <w:rPr>
            <w:rStyle w:val="Hyperlink"/>
          </w:rPr>
          <w:t xml:space="preserve">3.3. Установка приложения</w:t>
        </w:r>
      </w:hyperlink>
    </w:p>
    <w:p>
      <w:pPr>
        <w:pStyle w:val="Compact"/>
        <w:numPr>
          <w:numId w:val="1001"/>
          <w:ilvl w:val="0"/>
        </w:numPr>
      </w:pPr>
      <w:hyperlink w:anchor="First_configuration.xhtml">
        <w:r>
          <w:rPr>
            <w:rStyle w:val="Hyperlink"/>
          </w:rPr>
          <w:t xml:space="preserve">4. Инструкция по первичной настройке</w:t>
        </w:r>
      </w:hyperlink>
    </w:p>
    <w:p>
      <w:pPr>
        <w:pStyle w:val="Compact"/>
        <w:numPr>
          <w:numId w:val="1004"/>
          <w:ilvl w:val="1"/>
        </w:numPr>
      </w:pPr>
      <w:hyperlink w:anchor="First_configuration.xhtml#id2">
        <w:r>
          <w:rPr>
            <w:rStyle w:val="Hyperlink"/>
          </w:rPr>
          <w:t xml:space="preserve">4.1. В конфигураторе</w:t>
        </w:r>
      </w:hyperlink>
    </w:p>
    <w:p>
      <w:pPr>
        <w:pStyle w:val="Compact"/>
        <w:numPr>
          <w:numId w:val="1004"/>
          <w:ilvl w:val="1"/>
        </w:numPr>
      </w:pPr>
      <w:hyperlink w:anchor="First_configuration.xhtml#synergy">
        <w:r>
          <w:rPr>
            <w:rStyle w:val="Hyperlink"/>
          </w:rPr>
          <w:t xml:space="preserve">4.2. В пользовательской подсистеме SYNERGY</w:t>
        </w:r>
      </w:hyperlink>
    </w:p>
    <w:p>
      <w:pPr>
        <w:pStyle w:val="Compact"/>
        <w:numPr>
          <w:numId w:val="1001"/>
          <w:ilvl w:val="0"/>
        </w:numPr>
      </w:pPr>
      <w:hyperlink w:anchor="Product_structure.xhtml">
        <w:r>
          <w:rPr>
            <w:rStyle w:val="Hyperlink"/>
          </w:rPr>
          <w:t xml:space="preserve">5. Структура продукта</w:t>
        </w:r>
      </w:hyperlink>
    </w:p>
    <w:p>
      <w:pPr>
        <w:pStyle w:val="Compact"/>
        <w:numPr>
          <w:numId w:val="1005"/>
          <w:ilvl w:val="1"/>
        </w:numPr>
      </w:pPr>
      <w:hyperlink w:anchor="Product_structure.xhtml#id2">
        <w:r>
          <w:rPr>
            <w:rStyle w:val="Hyperlink"/>
          </w:rPr>
          <w:t xml:space="preserve">5.1. Как все устроено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Назначение документа</w:t>
      </w:r>
    </w:p>
    <w:p>
      <w:pPr>
        <w:pStyle w:val="FirstParagraph"/>
      </w:pPr>
      <w:r>
        <w:t xml:space="preserve">Целью создания данного документа является предоставление информации о конфигурации продукта, в частности, предоставление детализированного описания:</w:t>
      </w:r>
    </w:p>
    <w:p>
      <w:pPr>
        <w:pStyle w:val="BlockText"/>
        <w:numPr>
          <w:numId w:val="1006"/>
          <w:ilvl w:val="0"/>
        </w:numPr>
      </w:pPr>
      <w:r>
        <w:t xml:space="preserve">созданных объектов</w:t>
      </w:r>
    </w:p>
    <w:p>
      <w:pPr>
        <w:pStyle w:val="BlockText"/>
        <w:numPr>
          <w:numId w:val="1006"/>
          <w:ilvl w:val="0"/>
        </w:numPr>
      </w:pPr>
      <w:r>
        <w:t xml:space="preserve">произведенных настроек</w:t>
      </w:r>
    </w:p>
    <w:p>
      <w:pPr>
        <w:pStyle w:val="BlockText"/>
        <w:numPr>
          <w:numId w:val="1006"/>
          <w:ilvl w:val="0"/>
        </w:numPr>
      </w:pPr>
      <w:r>
        <w:t xml:space="preserve">предполагаемого процесса работы в системе согласно назначению продукта.</w:t>
      </w:r>
    </w:p>
    <w:p>
      <w:pPr>
        <w:pStyle w:val="FirstParagraph"/>
      </w:pPr>
      <w:r>
        <w:t xml:space="preserve">Данный документ также может содержать дополнительные инструкции по возможным сценариям кастомизации существующей функциональности, советы и рекомендации.</w:t>
      </w:r>
    </w:p>
    <w:bookmarkEnd w:id="23"/>
    <w:p>
      <w:pPr>
        <w:pStyle w:val="BodyText"/>
      </w:pPr>
      <w:bookmarkStart w:id="24" w:name="methodology.xhtml"/>
      <w:bookmarkEnd w:id="24"/>
    </w:p>
    <w:bookmarkStart w:id="34" w:name="methodology.xhtml#id1"/>
    <w:p>
      <w:pPr>
        <w:pStyle w:val="Heading1"/>
      </w:pPr>
      <w:r>
        <w:t xml:space="preserve">2. Методология внедрения</w:t>
      </w:r>
    </w:p>
    <w:bookmarkStart w:id="25" w:name="methodology.xhtml#id2"/>
    <w:p>
      <w:pPr>
        <w:pStyle w:val="Heading2"/>
      </w:pPr>
      <w:r>
        <w:t xml:space="preserve">2.1. Получение ресурсов (боевого и тестового стенда)</w:t>
      </w:r>
    </w:p>
    <w:p>
      <w:pPr>
        <w:pStyle w:val="FirstParagraph"/>
      </w:pPr>
      <w:r>
        <w:t xml:space="preserve">Характеристики серверов:</w:t>
      </w:r>
    </w:p>
    <w:p>
      <w:pPr>
        <w:numPr>
          <w:numId w:val="1007"/>
          <w:ilvl w:val="0"/>
        </w:numPr>
      </w:pPr>
      <w:r>
        <w:t xml:space="preserve">Хранилище Jackrabbit</w:t>
      </w:r>
    </w:p>
    <w:p>
      <w:pPr>
        <w:numPr>
          <w:numId w:val="1007"/>
          <w:ilvl w:val="0"/>
        </w:numPr>
      </w:pPr>
      <w:r>
        <w:t xml:space="preserve">Поисковые индексы Lucene</w:t>
      </w:r>
    </w:p>
    <w:p>
      <w:pPr>
        <w:numPr>
          <w:numId w:val="1007"/>
          <w:ilvl w:val="0"/>
        </w:numPr>
      </w:pPr>
      <w:r>
        <w:t xml:space="preserve">16 Гб ОЗУ</w:t>
      </w:r>
    </w:p>
    <w:p>
      <w:pPr>
        <w:numPr>
          <w:numId w:val="1007"/>
          <w:ilvl w:val="0"/>
        </w:numPr>
      </w:pPr>
      <w:r>
        <w:t xml:space="preserve">Debian GNU/Linux (jessie, wheezy)</w:t>
      </w:r>
    </w:p>
    <w:p>
      <w:pPr>
        <w:numPr>
          <w:numId w:val="1007"/>
          <w:ilvl w:val="0"/>
        </w:numPr>
      </w:pPr>
      <w:r>
        <w:t xml:space="preserve">CPU 8-core</w:t>
      </w:r>
    </w:p>
    <w:p>
      <w:pPr>
        <w:numPr>
          <w:numId w:val="1007"/>
          <w:ilvl w:val="0"/>
        </w:numPr>
      </w:pPr>
      <w:r>
        <w:t xml:space="preserve">HDD/SSD с 10Гб свободного дискового пространства.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развернуть тестовый стенд, полностью дублирующий конфигурацию системы боевого сервера,</w:t>
      </w:r>
      <w:r>
        <w:t xml:space="preserve"> </w:t>
      </w:r>
      <w:r>
        <w:t xml:space="preserve">для диагностики и воспроизведения потенциальных проблем, тестирования обновления и изменений конфигурации.</w:t>
      </w:r>
    </w:p>
    <w:bookmarkEnd w:id="25"/>
    <w:bookmarkStart w:id="27" w:name="methodology.xhtml#id3"/>
    <w:p>
      <w:pPr>
        <w:pStyle w:val="Heading2"/>
      </w:pPr>
      <w:r>
        <w:t xml:space="preserve">2.2. Установка и настройка системы</w:t>
      </w:r>
    </w:p>
    <w:p>
      <w:pPr>
        <w:pStyle w:val="FirstParagraph"/>
      </w:pPr>
      <w:r>
        <w:t xml:space="preserve">Воспользуйтесь инструкциями данного документа для установки (</w:t>
      </w:r>
      <w:hyperlink r:id="rId2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[http://rtd.lan.arta.kz/docs/synergy-service-rukovodstvo-po-vnedreniyu/ru/latest/install-manual.html]</w:t>
      </w:r>
      <w:r>
        <w:t xml:space="preserve">)</w:t>
      </w:r>
      <w:r>
        <w:t xml:space="preserve"> </w:t>
      </w:r>
      <w:r>
        <w:t xml:space="preserve">системы на боевом и тестовом стендах.</w:t>
      </w:r>
    </w:p>
    <w:bookmarkEnd w:id="27"/>
    <w:bookmarkStart w:id="30" w:name="methodology.xhtml#id5"/>
    <w:p>
      <w:pPr>
        <w:pStyle w:val="Heading2"/>
      </w:pPr>
      <w:r>
        <w:t xml:space="preserve">2.3. Кастомизация процессов по факту выявленных пожеланий</w:t>
      </w:r>
    </w:p>
    <w:p>
      <w:pPr>
        <w:numPr>
          <w:numId w:val="1008"/>
          <w:ilvl w:val="0"/>
        </w:numPr>
      </w:pPr>
      <w:r>
        <w:t xml:space="preserve">Для выявления пожеланий по изменению стандартной конфигурации продукта, устанавливаемой по-умолчанию, рекомендуется провести демонстрацию всем заинтересованным лицам проекта, в том числе, конечным пользователем: сотрудникам первой и второй линии.</w:t>
      </w:r>
    </w:p>
    <w:p>
      <w:pPr>
        <w:numPr>
          <w:numId w:val="1008"/>
          <w:ilvl w:val="0"/>
        </w:numPr>
      </w:pPr>
      <w:r>
        <w:t xml:space="preserve">Все пожелания/замечания к продукту должны быть задокументированы и проанализированы на сложность и сроки адаптации продукта под данные требования.</w:t>
      </w:r>
    </w:p>
    <w:p>
      <w:pPr>
        <w:numPr>
          <w:numId w:val="1008"/>
          <w:ilvl w:val="0"/>
        </w:numPr>
      </w:pPr>
      <w:r>
        <w:t xml:space="preserve">В качестве вспомогательного инструмента к определению необходимых настроек в системе для реализации тех или иных пожеланий, рекомендуется ознакомиться со</w:t>
      </w:r>
      <w:r>
        <w:t xml:space="preserve"> </w:t>
      </w:r>
      <w:hyperlink r:id="rId28">
        <w:r>
          <w:rPr>
            <w:rStyle w:val="Hyperlink"/>
          </w:rPr>
          <w:t xml:space="preserve">Структурой продукта</w:t>
        </w:r>
      </w:hyperlink>
      <w:r>
        <w:t xml:space="preserve"> </w:t>
      </w:r>
      <w:r>
        <w:t xml:space="preserve">[http://rtd.lan.arta.kz/docs/synergy-service-rukovodstvo-po-vnedreniyu/ru/latest/Product_structure.html]</w:t>
      </w:r>
      <w:r>
        <w:t xml:space="preserve">, а также</w:t>
      </w:r>
      <w:r>
        <w:t xml:space="preserve"> </w:t>
      </w:r>
      <w:hyperlink r:id="rId29">
        <w:r>
          <w:rPr>
            <w:rStyle w:val="Hyperlink"/>
          </w:rPr>
          <w:t xml:space="preserve">Руководством разработчика</w:t>
        </w:r>
      </w:hyperlink>
      <w:r>
        <w:t xml:space="preserve"> </w:t>
      </w:r>
      <w:r>
        <w:t xml:space="preserve">[http://rtd.lan.arta.kz/docs/guide/ru/minsky/]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провести полное тестирование всех процессов, после произведения настроек конфигурации.</w:t>
      </w:r>
    </w:p>
    <w:bookmarkEnd w:id="30"/>
    <w:bookmarkStart w:id="31" w:name="methodology.xhtml#id8"/>
    <w:p>
      <w:pPr>
        <w:pStyle w:val="Heading2"/>
      </w:pPr>
      <w:r>
        <w:t xml:space="preserve">2.4. Обучение сотрудников работе в системе</w:t>
      </w:r>
    </w:p>
    <w:p>
      <w:pPr>
        <w:numPr>
          <w:numId w:val="1009"/>
          <w:ilvl w:val="0"/>
        </w:numPr>
      </w:pPr>
      <w:r>
        <w:t xml:space="preserve">Все сотрудники организации, которым в рамках проекта предполагается обучение, могут быть объединены в группы согласно осуществляемым ими ролям (диспетчеры, исполнители и т.д.)</w:t>
      </w:r>
    </w:p>
    <w:p>
      <w:pPr>
        <w:numPr>
          <w:numId w:val="1009"/>
          <w:ilvl w:val="0"/>
        </w:numPr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 оргстукртуе компании и прочей специфики проекта.</w:t>
      </w:r>
    </w:p>
    <w:p>
      <w:pPr>
        <w:numPr>
          <w:numId w:val="1009"/>
          <w:ilvl w:val="0"/>
        </w:numPr>
      </w:pPr>
      <w:r>
        <w:t xml:space="preserve">В первую очередь, должны быть обучены сотрудники, исполняющие основные роли в процессах, попадающих под опытную эксплуатацию</w:t>
      </w:r>
    </w:p>
    <w:bookmarkEnd w:id="31"/>
    <w:bookmarkStart w:id="32" w:name="methodology.xhtml#id9"/>
    <w:p>
      <w:pPr>
        <w:pStyle w:val="Heading2"/>
      </w:pPr>
      <w:r>
        <w:t xml:space="preserve">2.5. Опытная эксплуатация</w:t>
      </w:r>
    </w:p>
    <w:p>
      <w:pPr>
        <w:numPr>
          <w:numId w:val="1010"/>
          <w:ilvl w:val="0"/>
        </w:numPr>
      </w:pPr>
      <w:r>
        <w:t xml:space="preserve">Процесс опытной эксплуатации представляет собой имитацию полноценной работы системы в боевом режиме, но в меньших масштабах. Это может быть прогон основных боевых процессов на выделенном подразделении или на определенной категории документов.</w:t>
      </w:r>
    </w:p>
    <w:p>
      <w:pPr>
        <w:numPr>
          <w:numId w:val="1010"/>
          <w:ilvl w:val="0"/>
        </w:numPr>
      </w:pPr>
      <w:r>
        <w:t xml:space="preserve">Продолжительность процесса опытной эксплуатации зависит от масштабов проекта и количество внедряемых одновременно процессов.</w:t>
      </w:r>
    </w:p>
    <w:p>
      <w:pPr>
        <w:numPr>
          <w:numId w:val="1010"/>
          <w:ilvl w:val="0"/>
        </w:numPr>
      </w:pPr>
      <w:r>
        <w:t xml:space="preserve">Результатом опытной эксплуатации должен являться подтвержденный всеми заинтересованными сторонами факт готовности системы к использованию в промышленном режиме.</w:t>
      </w:r>
    </w:p>
    <w:p>
      <w:pPr>
        <w:numPr>
          <w:numId w:val="1010"/>
          <w:ilvl w:val="0"/>
        </w:numPr>
      </w:pPr>
      <w:r>
        <w:t xml:space="preserve">В случае выявления замечаний в ходе опытной эксплуатации, должны быть произведены соответствующие настройки в системе и измененные процессы должны быть протестированы повторно.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</w:t>
      </w:r>
      <w:r>
        <w:t xml:space="preserve"> </w:t>
      </w:r>
      <w:r>
        <w:t xml:space="preserve">оргстукртуе компании и прочей специфики проекта.</w:t>
      </w:r>
    </w:p>
    <w:bookmarkEnd w:id="32"/>
    <w:bookmarkStart w:id="33" w:name="methodology.xhtml#id10"/>
    <w:p>
      <w:pPr>
        <w:pStyle w:val="Heading2"/>
      </w:pPr>
      <w:r>
        <w:t xml:space="preserve">2.6. Запуск в промышленную эксплуатацию</w:t>
      </w:r>
    </w:p>
    <w:bookmarkEnd w:id="33"/>
    <w:bookmarkEnd w:id="34"/>
    <w:p>
      <w:pPr>
        <w:pStyle w:val="FirstParagraph"/>
      </w:pPr>
      <w:bookmarkStart w:id="35" w:name="install-manual.xhtml"/>
      <w:bookmarkEnd w:id="35"/>
    </w:p>
    <w:bookmarkStart w:id="41" w:name="install-manual.xhtml#arta-synergy-service"/>
    <w:p>
      <w:pPr>
        <w:pStyle w:val="Heading1"/>
      </w:pPr>
      <w:r>
        <w:t xml:space="preserve">3. Инструкция по установке Arta Synergy Service</w:t>
      </w:r>
    </w:p>
    <w:bookmarkStart w:id="37" w:name="install-manual.xhtml#id1"/>
    <w:p>
      <w:pPr>
        <w:pStyle w:val="Heading2"/>
      </w:pPr>
      <w:r>
        <w:t xml:space="preserve">3.1. Предварительные требования</w:t>
      </w:r>
    </w:p>
    <w:p>
      <w:pPr>
        <w:pStyle w:val="FirstParagraph"/>
      </w:pPr>
      <w:r>
        <w:t xml:space="preserve">Важно! Для работы системы требуется:</w:t>
      </w:r>
    </w:p>
    <w:p>
      <w:pPr>
        <w:numPr>
          <w:numId w:val="1011"/>
          <w:ilvl w:val="0"/>
        </w:numPr>
      </w:pPr>
      <w:r>
        <w:t xml:space="preserve">установить Arta Synergy 4.1 minsky (</w:t>
      </w:r>
      <w:hyperlink r:id="rId3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[http://tdd.lan.arta.kz/docs/synergy/tags/minsky/admin-manual/html/install-and-setup.html#install-and-setup.install]</w:t>
      </w:r>
      <w:r>
        <w:t xml:space="preserve">)</w:t>
      </w:r>
    </w:p>
    <w:p>
      <w:pPr>
        <w:numPr>
          <w:numId w:val="1011"/>
          <w:ilvl w:val="0"/>
        </w:numPr>
      </w:pPr>
      <w:r>
        <w:t xml:space="preserve">в подсистеме администрирования обновить БД и процессы.</w:t>
      </w:r>
    </w:p>
    <w:bookmarkEnd w:id="37"/>
    <w:bookmarkStart w:id="38" w:name="install-manual.xhtml#id3"/>
    <w:p>
      <w:pPr>
        <w:pStyle w:val="Heading2"/>
      </w:pPr>
      <w:r>
        <w:t xml:space="preserve">3.2. 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product-stable</w:t>
      </w:r>
      <w:r>
        <w:t xml:space="preserve">. 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</w:p>
    <w:p>
      <w:pPr>
        <w:pStyle w:val="BodyText"/>
      </w:pPr>
      <w:r>
        <w:rPr>
          <w:rStyle w:val="VerbatimChar"/>
        </w:rPr>
        <w:t xml:space="preserve">deb http://deb.arta.kz/tengri product-stable main contrib non-free</w:t>
      </w:r>
    </w:p>
    <w:bookmarkEnd w:id="38"/>
    <w:bookmarkStart w:id="40" w:name="install-manual.xhtml#id4"/>
    <w:p>
      <w:pPr>
        <w:pStyle w:val="Heading2"/>
      </w:pPr>
      <w:r>
        <w:t xml:space="preserve">3.3. Установка приложения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arta-synergy-apps-service</w:t>
      </w:r>
    </w:p>
    <w:p>
      <w:pPr>
        <w:pStyle w:val="FirstParagraph"/>
      </w:pPr>
      <w:r>
        <w:t xml:space="preserve">В ходе установки необходимо выбрать тип установки из предложенного списка</w:t>
      </w:r>
    </w:p>
    <w:p>
      <w:pPr>
        <w:pStyle w:val="BodyText"/>
      </w:pPr>
      <w:r>
        <w:t xml:space="preserve">Примечание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 </w:t>
      </w:r>
      <w:r>
        <w:rPr>
          <w:b/>
        </w:rPr>
        <w:t xml:space="preserve">полностью удаляет все ранее установленные данные Synergy</w:t>
      </w:r>
      <w:r>
        <w:t xml:space="preserve">, устанавливает приложение Synergy Project, автоматически загружает</w:t>
      </w:r>
      <w:r>
        <w:t xml:space="preserve"> </w:t>
      </w:r>
      <w:r>
        <w:t xml:space="preserve">его конфигурацию и загружает дампы базы данных.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устанавливает приложение Synergy Project, автоматически загружает его конфигурацию и настраивает</w:t>
      </w:r>
      <w:r>
        <w:t xml:space="preserve"> </w:t>
      </w:r>
      <w:r>
        <w:t xml:space="preserve">необходимые конфигурационные файлы.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 </w:t>
      </w:r>
      <w:r>
        <w:t xml:space="preserve">устанавливает приложение Synergy Project без автоматической загрузки конфигурации (т.е. только заменяет</w:t>
      </w:r>
      <w:r>
        <w:t xml:space="preserve"> </w:t>
      </w:r>
      <w:r>
        <w:rPr>
          <w:rStyle w:val="VerbatimChar"/>
        </w:rPr>
        <w:t xml:space="preserve">war</w:t>
      </w:r>
      <w:r>
        <w:t xml:space="preserve">-файлы).</w:t>
      </w:r>
    </w:p>
    <w:p>
      <w:pPr>
        <w:pStyle w:val="FirstParagraph"/>
      </w:pPr>
      <w:r>
        <w:t xml:space="preserve">Дальнейший ход установки зависит от выбранного типа установки:</w:t>
      </w:r>
    </w:p>
    <w:p>
      <w:pPr>
        <w:numPr>
          <w:numId w:val="1013"/>
          <w:ilvl w:val="0"/>
        </w:numPr>
      </w:pPr>
      <w:r>
        <w:t xml:space="preserve">для варианта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:</w:t>
      </w:r>
    </w:p>
    <w:p>
      <w:pPr>
        <w:pStyle w:val="BlockText"/>
        <w:numPr>
          <w:numId w:val="1014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</w:t>
      </w:r>
    </w:p>
    <w:p>
      <w:pPr>
        <w:pStyle w:val="BlockText"/>
        <w:numPr>
          <w:numId w:val="1014"/>
          <w:ilvl w:val="1"/>
        </w:numPr>
      </w:pPr>
      <w:r>
        <w:t xml:space="preserve">ввести пароль пользователя, имеющего root-права mysql, от имени которого будут применены дампы базы данных</w:t>
      </w:r>
    </w:p>
    <w:p>
      <w:pPr>
        <w:pStyle w:val="BlockText"/>
        <w:numPr>
          <w:numId w:val="1014"/>
          <w:ilvl w:val="1"/>
        </w:numPr>
      </w:pPr>
      <w:r>
        <w:t xml:space="preserve">после завершения установки обязательно нужно выполнить полную переиндексацию форм, файлов и документов в Административном приложении Synergy.</w:t>
      </w:r>
    </w:p>
    <w:p>
      <w:pPr>
        <w:numPr>
          <w:numId w:val="1013"/>
          <w:ilvl w:val="0"/>
        </w:numPr>
      </w:pPr>
      <w:r>
        <w:t xml:space="preserve">для вариантов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:</w:t>
      </w:r>
    </w:p>
    <w:p>
      <w:pPr>
        <w:pStyle w:val="BlockText"/>
        <w:numPr>
          <w:numId w:val="1015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):</w:t>
      </w:r>
    </w:p>
    <w:p>
      <w:pPr>
        <w:pStyle w:val="BlockText"/>
        <w:numPr>
          <w:numId w:val="1015"/>
          <w:ilvl w:val="1"/>
        </w:numPr>
      </w:pPr>
      <w:r>
        <w:t xml:space="preserve">ввести последовательно логин и пароль Системного пользователя:</w:t>
      </w:r>
    </w:p>
    <w:p>
      <w:pPr>
        <w:pStyle w:val="FirstParagraph"/>
      </w:pPr>
      <w:r>
        <w:t xml:space="preserve">Внимание</w:t>
      </w:r>
    </w:p>
    <w:p>
      <w:pPr>
        <w:pStyle w:val="BodyText"/>
      </w:pPr>
      <w:r>
        <w:t xml:space="preserve">Для предотвращения дальнейшей нечаянной установки нестабильных версий пакетов из репозитория</w:t>
      </w:r>
      <w:r>
        <w:t xml:space="preserve"> </w:t>
      </w:r>
      <w:r>
        <w:rPr>
          <w:rStyle w:val="VerbatimChar"/>
        </w:rPr>
        <w:t xml:space="preserve">unstable</w:t>
      </w:r>
      <w:r>
        <w:t xml:space="preserve">, после установки пакета</w:t>
      </w:r>
      <w:r>
        <w:t xml:space="preserve"> </w:t>
      </w:r>
      <w:r>
        <w:rPr>
          <w:rStyle w:val="VerbatimChar"/>
        </w:rPr>
        <w:t xml:space="preserve">arta-synergy-apps-project</w:t>
      </w:r>
      <w:r>
        <w:t xml:space="preserve"> </w:t>
      </w:r>
      <w:r>
        <w:t xml:space="preserve">рекомендуется закомментировать этот репозиторий 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.</w:t>
      </w:r>
    </w:p>
    <w:p>
      <w:pPr>
        <w:pStyle w:val="BodyText"/>
      </w:pPr>
      <w:r>
        <w:t xml:space="preserve">После установки приложения обязательно выполнить пункты (</w:t>
      </w:r>
      <w:hyperlink r:id="rId39">
        <w:r>
          <w:rPr>
            <w:rStyle w:val="Hyperlink"/>
          </w:rPr>
          <w:t xml:space="preserve">Инструкция по первичной настройке</w:t>
        </w:r>
      </w:hyperlink>
      <w:r>
        <w:t xml:space="preserve"> </w:t>
      </w:r>
      <w:r>
        <w:t xml:space="preserve">[http://rtd.lan.arta.kz/docs/synergy-service-rukovodstvo-po-vnedreniyu/ru/latest/First_configuration.html]</w:t>
      </w:r>
      <w:r>
        <w:t xml:space="preserve">)</w:t>
      </w:r>
    </w:p>
    <w:bookmarkEnd w:id="40"/>
    <w:bookmarkEnd w:id="41"/>
    <w:p>
      <w:pPr>
        <w:pStyle w:val="BodyText"/>
      </w:pPr>
      <w:bookmarkStart w:id="42" w:name="First_configuration.xhtml"/>
      <w:bookmarkEnd w:id="42"/>
    </w:p>
    <w:bookmarkStart w:id="45" w:name="First_configuration.xhtml#id1"/>
    <w:p>
      <w:pPr>
        <w:pStyle w:val="Heading1"/>
      </w:pPr>
      <w:r>
        <w:t xml:space="preserve">4. Инструкция по первичной настройке</w:t>
      </w:r>
    </w:p>
    <w:bookmarkStart w:id="43" w:name="First_configuration.xhtml#id2"/>
    <w:p>
      <w:pPr>
        <w:pStyle w:val="Heading2"/>
      </w:pPr>
      <w:r>
        <w:t xml:space="preserve">4.1. В конфигураторе</w:t>
      </w:r>
    </w:p>
    <w:p>
      <w:pPr>
        <w:numPr>
          <w:numId w:val="1016"/>
          <w:ilvl w:val="0"/>
        </w:numPr>
      </w:pPr>
      <w:r>
        <w:t xml:space="preserve">Внести организационную структуру.</w:t>
      </w:r>
    </w:p>
    <w:p>
      <w:pPr>
        <w:pStyle w:val="FirstParagraph"/>
      </w:pPr>
      <w:r>
        <w:t xml:space="preserve">Обязательно должны присутствовать сотрудники с ролями:</w:t>
      </w:r>
    </w:p>
    <w:p>
      <w:pPr>
        <w:numPr>
          <w:numId w:val="1017"/>
          <w:ilvl w:val="0"/>
        </w:numPr>
      </w:pPr>
      <w:r>
        <w:t xml:space="preserve">Диспетчер</w:t>
      </w:r>
    </w:p>
    <w:p>
      <w:pPr>
        <w:numPr>
          <w:numId w:val="1017"/>
          <w:ilvl w:val="0"/>
        </w:numPr>
      </w:pPr>
      <w:r>
        <w:t xml:space="preserve">Исполнитель</w:t>
      </w:r>
    </w:p>
    <w:p>
      <w:pPr>
        <w:numPr>
          <w:numId w:val="1018"/>
          <w:ilvl w:val="0"/>
        </w:numPr>
      </w:pPr>
      <w:r>
        <w:t xml:space="preserve">В организационной структуре обязательно должна присутствовать должность Клиент с кодом</w:t>
      </w:r>
      <w:r>
        <w:t xml:space="preserve"> </w:t>
      </w:r>
      <w:r>
        <w:rPr>
          <w:rStyle w:val="VerbatimChar"/>
        </w:rPr>
        <w:t xml:space="preserve">service_clients</w:t>
      </w:r>
    </w:p>
    <w:p>
      <w:pPr>
        <w:numPr>
          <w:numId w:val="1019"/>
          <w:ilvl w:val="0"/>
        </w:numPr>
      </w:pPr>
      <w:r>
        <w:t xml:space="preserve">Добавить пользователей в группы</w:t>
      </w:r>
      <w:r>
        <w:t xml:space="preserve"> </w:t>
      </w:r>
      <w:r>
        <w:rPr>
          <w:rStyle w:val="VerbatimChar"/>
        </w:rPr>
        <w:t xml:space="preserve">service_admin_group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service_client_group</w:t>
      </w:r>
      <w:r>
        <w:t xml:space="preserve"> </w:t>
      </w:r>
      <w:r>
        <w:t xml:space="preserve">и/или настроить и разграничить права на реестры по потребности.</w:t>
      </w:r>
    </w:p>
    <w:p>
      <w:pPr>
        <w:numPr>
          <w:numId w:val="1019"/>
          <w:ilvl w:val="0"/>
        </w:numPr>
      </w:pPr>
      <w:r>
        <w:t xml:space="preserve">Создать формы и реестры на виды услуг в папке</w:t>
      </w:r>
      <w:r>
        <w:t xml:space="preserve"> </w:t>
      </w:r>
      <w:r>
        <w:rPr>
          <w:rStyle w:val="VerbatimChar"/>
        </w:rPr>
        <w:t xml:space="preserve">orders</w:t>
      </w:r>
      <w:r>
        <w:t xml:space="preserve"> </w:t>
      </w:r>
      <w:r>
        <w:t xml:space="preserve">в конфигурации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Не рекомендуется использовать созданные для примере order1…order6 так как при обновлении ваши изменения на этих формах могут быть потеряны.</w:t>
      </w:r>
    </w:p>
    <w:p>
      <w:pPr>
        <w:numPr>
          <w:numId w:val="1020"/>
          <w:ilvl w:val="0"/>
        </w:numPr>
      </w:pPr>
      <w:r>
        <w:t xml:space="preserve">Создать формы завершения (В дополнительных настройках конфигуратора), ссылаясь на созданные формы: Форма завершения заявки и Форма подтверждения заявки (формы созданные по-умолчанию расположены в папке</w:t>
      </w:r>
      <w:r>
        <w:t xml:space="preserve"> </w:t>
      </w:r>
      <w:r>
        <w:rPr>
          <w:rStyle w:val="VerbatimChar"/>
        </w:rPr>
        <w:t xml:space="preserve">orders</w:t>
      </w:r>
      <w:r>
        <w:t xml:space="preserve">).</w:t>
      </w:r>
    </w:p>
    <w:p>
      <w:pPr>
        <w:numPr>
          <w:numId w:val="1020"/>
          <w:ilvl w:val="0"/>
        </w:numPr>
      </w:pPr>
      <w:r>
        <w:t xml:space="preserve">Проверить корректность указанных форм завершения (для автоматического перехода на следующий этап все формы завершения имеют опцию «не требовать подтверждения») для этапов в маршрутах реестра.</w:t>
      </w:r>
    </w:p>
    <w:bookmarkEnd w:id="43"/>
    <w:bookmarkStart w:id="44" w:name="First_configuration.xhtml#synergy"/>
    <w:p>
      <w:pPr>
        <w:pStyle w:val="Heading2"/>
      </w:pPr>
      <w:r>
        <w:t xml:space="preserve">4.2. В пользовательской подсистеме SYNERGY</w:t>
      </w:r>
    </w:p>
    <w:p>
      <w:pPr>
        <w:numPr>
          <w:numId w:val="1021"/>
          <w:ilvl w:val="0"/>
        </w:numPr>
      </w:pPr>
      <w:r>
        <w:t xml:space="preserve">Заполнить реестр Услуги, указав коды форм и реестров, созданных в конфигураторе</w:t>
      </w:r>
    </w:p>
    <w:p>
      <w:pPr>
        <w:numPr>
          <w:numId w:val="1021"/>
          <w:ilvl w:val="0"/>
        </w:numPr>
      </w:pPr>
      <w:r>
        <w:t xml:space="preserve">Заполнить реестры Типы активов, Активы, Исполнители, Локации.</w:t>
      </w:r>
    </w:p>
    <w:bookmarkEnd w:id="44"/>
    <w:bookmarkEnd w:id="45"/>
    <w:p>
      <w:pPr>
        <w:pStyle w:val="FirstParagraph"/>
      </w:pPr>
      <w:bookmarkStart w:id="46" w:name="Product_structure.xhtml"/>
      <w:bookmarkEnd w:id="46"/>
    </w:p>
    <w:bookmarkStart w:id="49" w:name="Product_structure.xhtml#id1"/>
    <w:p>
      <w:pPr>
        <w:pStyle w:val="Heading1"/>
      </w:pPr>
      <w:r>
        <w:t xml:space="preserve">5. Структура продукта</w:t>
      </w:r>
    </w:p>
    <w:bookmarkStart w:id="48" w:name="Product_structure.xhtml#id2"/>
    <w:p>
      <w:pPr>
        <w:pStyle w:val="Heading2"/>
      </w:pPr>
      <w:r>
        <w:t xml:space="preserve">5.1. Как все устроено</w:t>
      </w:r>
    </w:p>
    <w:p>
      <w:pPr>
        <w:pStyle w:val="FirstParagraph"/>
      </w:pPr>
      <w:r>
        <w:t xml:space="preserve">Система Synergy Service реализована на базе платформы ARTA SYNERGY, путем создания конфигурации, допускающей гибкую настройку объектов: форм, маршрутов, статусов и пр…</w:t>
      </w:r>
    </w:p>
    <w:p>
      <w:pPr>
        <w:pStyle w:val="BodyText"/>
      </w:pPr>
      <w:r>
        <w:t xml:space="preserve">В системе Synergy Service реализованы следующие глобальные процессы и их подпроцессы:</w:t>
      </w:r>
    </w:p>
    <w:p>
      <w:pPr>
        <w:numPr>
          <w:numId w:val="1022"/>
          <w:ilvl w:val="0"/>
        </w:numPr>
      </w:pPr>
      <w:r>
        <w:t xml:space="preserve">Портал самообслуживания</w:t>
      </w:r>
    </w:p>
    <w:p>
      <w:pPr>
        <w:numPr>
          <w:numId w:val="1022"/>
          <w:ilvl w:val="0"/>
        </w:numPr>
      </w:pPr>
      <w:r>
        <w:t xml:space="preserve">Диспетчеризация заявок</w:t>
      </w:r>
    </w:p>
    <w:p>
      <w:pPr>
        <w:numPr>
          <w:numId w:val="1022"/>
          <w:ilvl w:val="0"/>
        </w:numPr>
      </w:pPr>
      <w:r>
        <w:t xml:space="preserve">Исполнение заявок</w:t>
      </w:r>
    </w:p>
    <w:p>
      <w:pPr>
        <w:numPr>
          <w:numId w:val="1022"/>
          <w:ilvl w:val="0"/>
        </w:numPr>
      </w:pPr>
      <w:r>
        <w:t xml:space="preserve">Управление каталогами услуг, активов, исполнителей</w:t>
      </w:r>
    </w:p>
    <w:p>
      <w:pPr>
        <w:pStyle w:val="FirstParagraph"/>
      </w:pPr>
      <w:r>
        <w:t xml:space="preserve">В конфигураторе приложение</w:t>
      </w:r>
      <w:r>
        <w:t xml:space="preserve"> </w:t>
      </w:r>
      <w:r>
        <w:rPr>
          <w:rStyle w:val="VerbatimChar"/>
        </w:rPr>
        <w:t xml:space="preserve">SynergyService</w:t>
      </w:r>
      <w:r>
        <w:t xml:space="preserve"> </w:t>
      </w:r>
      <w:r>
        <w:t xml:space="preserve">состоит из следующих папок:</w:t>
      </w:r>
    </w:p>
    <w:p>
      <w:pPr>
        <w:pStyle w:val="DefinitionTerm"/>
        <w:numPr>
          <w:numId w:val="1023"/>
          <w:ilvl w:val="0"/>
        </w:numPr>
      </w:pPr>
      <w:r>
        <w:rPr>
          <w:rStyle w:val="VerbatimChar"/>
        </w:rPr>
        <w:t xml:space="preserve">assets</w:t>
      </w:r>
      <w:r>
        <w:t xml:space="preserve"> </w:t>
      </w:r>
      <w:r>
        <w:t xml:space="preserve">- Активы и Локации</w:t>
      </w:r>
    </w:p>
    <w:p>
      <w:pPr>
        <w:pStyle w:val="Definition"/>
        <w:numPr>
          <w:numId w:val="1024"/>
          <w:ilvl w:val="1"/>
        </w:numPr>
      </w:pPr>
      <w:r>
        <w:t xml:space="preserve">Справочник видов активов</w:t>
      </w:r>
    </w:p>
    <w:p>
      <w:pPr>
        <w:pStyle w:val="Definition"/>
        <w:numPr>
          <w:numId w:val="1024"/>
          <w:ilvl w:val="1"/>
        </w:numPr>
      </w:pPr>
      <w:r>
        <w:t xml:space="preserve">Формы, реестры Активов</w:t>
      </w:r>
    </w:p>
    <w:p>
      <w:pPr>
        <w:pStyle w:val="Definition"/>
        <w:numPr>
          <w:numId w:val="1024"/>
          <w:ilvl w:val="1"/>
        </w:numPr>
      </w:pPr>
      <w:r>
        <w:t xml:space="preserve">Формы, реестры Локаций</w:t>
      </w:r>
    </w:p>
    <w:p>
      <w:pPr>
        <w:pStyle w:val="DefinitionTerm"/>
        <w:numPr>
          <w:numId w:val="1023"/>
          <w:ilvl w:val="0"/>
        </w:numPr>
      </w:pPr>
      <w:r>
        <w:rPr>
          <w:rStyle w:val="VerbatimChar"/>
        </w:rPr>
        <w:t xml:space="preserve">clients</w:t>
      </w:r>
      <w:r>
        <w:t xml:space="preserve"> </w:t>
      </w:r>
      <w:r>
        <w:t xml:space="preserve">- объекты Документооборота</w:t>
      </w:r>
    </w:p>
    <w:p>
      <w:pPr>
        <w:pStyle w:val="Definition"/>
        <w:numPr>
          <w:numId w:val="1025"/>
          <w:ilvl w:val="1"/>
        </w:numPr>
      </w:pPr>
      <w:r>
        <w:t xml:space="preserve">Форма и реестр карточки клиента</w:t>
      </w:r>
    </w:p>
    <w:p>
      <w:pPr>
        <w:pStyle w:val="DefinitionTerm"/>
        <w:numPr>
          <w:numId w:val="1023"/>
          <w:ilvl w:val="0"/>
        </w:numPr>
      </w:pPr>
      <w:r>
        <w:rPr>
          <w:rStyle w:val="VerbatimChar"/>
        </w:rPr>
        <w:t xml:space="preserve">orders</w:t>
      </w:r>
      <w:r>
        <w:t xml:space="preserve"> </w:t>
      </w:r>
      <w:r>
        <w:t xml:space="preserve">- Группы пользователей</w:t>
      </w:r>
    </w:p>
    <w:p>
      <w:pPr>
        <w:pStyle w:val="Definition"/>
        <w:numPr>
          <w:numId w:val="1026"/>
          <w:ilvl w:val="1"/>
        </w:numPr>
      </w:pPr>
      <w:hyperlink w:anchor="Product_structure.xhtml#id3">
        <w:bookmarkStart w:id="47" w:name="Product_structure.xhtml#id4"/>
        <w:r>
          <w:rPr>
            <w:rStyle w:val="Hyperlink"/>
          </w:rPr>
          <w:t xml:space="preserve">``</w:t>
        </w:r>
        <w:bookmarkEnd w:id="47"/>
      </w:hyperlink>
      <w:r>
        <w:t xml:space="preserve">interpreter_scripts``Скрипты для автоматической смены статусов</w:t>
      </w:r>
    </w:p>
    <w:p>
      <w:pPr>
        <w:pStyle w:val="Definition"/>
        <w:numPr>
          <w:numId w:val="1026"/>
          <w:ilvl w:val="1"/>
        </w:numPr>
      </w:pPr>
      <w:r>
        <w:t xml:space="preserve">Папки на каждую услугу, содержащие форму и реестр (в конфигурации по-умолчанию - их 6)</w:t>
      </w:r>
    </w:p>
    <w:p>
      <w:pPr>
        <w:pStyle w:val="Definition"/>
        <w:numPr>
          <w:numId w:val="1026"/>
          <w:ilvl w:val="1"/>
        </w:numPr>
      </w:pPr>
      <w:r>
        <w:t xml:space="preserve">Формы завршения заявки и подтверждения завершения заявки</w:t>
      </w:r>
    </w:p>
    <w:p>
      <w:pPr>
        <w:pStyle w:val="Definition"/>
        <w:numPr>
          <w:numId w:val="1026"/>
          <w:ilvl w:val="1"/>
        </w:numPr>
      </w:pPr>
      <w:r>
        <w:t xml:space="preserve">Счетчик и шаблон номера</w:t>
      </w:r>
    </w:p>
    <w:p>
      <w:pPr>
        <w:pStyle w:val="Definition"/>
        <w:numPr>
          <w:numId w:val="1026"/>
          <w:ilvl w:val="1"/>
        </w:numPr>
      </w:pPr>
      <w:r>
        <w:t xml:space="preserve">Справочник статусов исполнения заявок</w:t>
      </w:r>
    </w:p>
    <w:p>
      <w:pPr>
        <w:pStyle w:val="DefinitionTerm"/>
        <w:numPr>
          <w:numId w:val="1023"/>
          <w:ilvl w:val="0"/>
        </w:numPr>
      </w:pPr>
      <w:r>
        <w:rPr>
          <w:rStyle w:val="VerbatimChar"/>
        </w:rPr>
        <w:t xml:space="preserve">performers</w:t>
      </w:r>
    </w:p>
    <w:p>
      <w:pPr>
        <w:pStyle w:val="Definition"/>
        <w:numPr>
          <w:numId w:val="1027"/>
          <w:ilvl w:val="1"/>
        </w:numPr>
      </w:pPr>
      <w:r>
        <w:t xml:space="preserve">Форма и реестр карточек исполнителей</w:t>
      </w:r>
    </w:p>
    <w:p>
      <w:pPr>
        <w:pStyle w:val="Definition"/>
        <w:numPr>
          <w:numId w:val="1027"/>
          <w:ilvl w:val="1"/>
        </w:numPr>
      </w:pPr>
      <w:r>
        <w:t xml:space="preserve">Форма и реестр навыков исполнителей</w:t>
      </w:r>
    </w:p>
    <w:p>
      <w:pPr>
        <w:pStyle w:val="Definition"/>
        <w:numPr>
          <w:numId w:val="1027"/>
          <w:ilvl w:val="1"/>
        </w:numPr>
      </w:pPr>
      <w:r>
        <w:t xml:space="preserve">Форма и реестр полей исполнителей</w:t>
      </w:r>
    </w:p>
    <w:p>
      <w:pPr>
        <w:pStyle w:val="DefinitionTerm"/>
        <w:numPr>
          <w:numId w:val="1023"/>
          <w:ilvl w:val="0"/>
        </w:numPr>
      </w:pPr>
      <w:r>
        <w:rPr>
          <w:rStyle w:val="VerbatimChar"/>
        </w:rPr>
        <w:t xml:space="preserve">services</w:t>
      </w:r>
      <w:r>
        <w:t xml:space="preserve"> </w:t>
      </w:r>
      <w:r>
        <w:t xml:space="preserve">- Услуги</w:t>
      </w:r>
    </w:p>
    <w:p>
      <w:pPr>
        <w:pStyle w:val="Definition"/>
        <w:numPr>
          <w:numId w:val="1028"/>
          <w:ilvl w:val="1"/>
        </w:numPr>
      </w:pPr>
      <w:r>
        <w:t xml:space="preserve">Форма и реестр услуг</w:t>
      </w:r>
    </w:p>
    <w:p>
      <w:pPr>
        <w:pStyle w:val="DefinitionTerm"/>
        <w:numPr>
          <w:numId w:val="1023"/>
          <w:ilvl w:val="0"/>
        </w:numPr>
      </w:pPr>
      <w:r>
        <w:t xml:space="preserve">Группы:</w:t>
      </w:r>
    </w:p>
    <w:p>
      <w:pPr>
        <w:pStyle w:val="Definition"/>
        <w:numPr>
          <w:numId w:val="1029"/>
          <w:ilvl w:val="1"/>
        </w:numPr>
      </w:pPr>
      <w:r>
        <w:rPr>
          <w:rStyle w:val="VerbatimChar"/>
        </w:rPr>
        <w:t xml:space="preserve">SynergyService</w:t>
      </w:r>
      <w:r>
        <w:t xml:space="preserve"> </w:t>
      </w:r>
      <w:r>
        <w:t xml:space="preserve">- группа для объединения всех реестров</w:t>
      </w:r>
    </w:p>
    <w:p>
      <w:pPr>
        <w:pStyle w:val="Definition"/>
        <w:numPr>
          <w:numId w:val="1029"/>
          <w:ilvl w:val="1"/>
        </w:numPr>
      </w:pPr>
      <w:r>
        <w:rPr>
          <w:rStyle w:val="VerbatimChar"/>
        </w:rPr>
        <w:t xml:space="preserve">service_admin_group</w:t>
      </w:r>
      <w:r>
        <w:t xml:space="preserve"> </w:t>
      </w:r>
      <w:r>
        <w:t xml:space="preserve">- группа пользователей с полным доступом</w:t>
      </w:r>
    </w:p>
    <w:p>
      <w:pPr>
        <w:pStyle w:val="Definition"/>
        <w:numPr>
          <w:numId w:val="1029"/>
          <w:ilvl w:val="1"/>
        </w:numPr>
      </w:pPr>
      <w:r>
        <w:rPr>
          <w:rStyle w:val="VerbatimChar"/>
        </w:rPr>
        <w:t xml:space="preserve">service_client_group</w:t>
      </w:r>
      <w:r>
        <w:t xml:space="preserve"> </w:t>
      </w:r>
      <w:r>
        <w:t xml:space="preserve">- группа пользователей на портал (клиенты)</w:t>
      </w:r>
    </w:p>
    <w:p>
      <w:pPr>
        <w:pStyle w:val="FirstParagraph"/>
      </w:pPr>
      <w:r>
        <w:t xml:space="preserve">В конструкторе приложение</w:t>
      </w:r>
      <w:r>
        <w:t xml:space="preserve"> </w:t>
      </w:r>
      <w:r>
        <w:rPr>
          <w:rStyle w:val="VerbatimChar"/>
        </w:rPr>
        <w:t xml:space="preserve">SynergyService</w:t>
      </w:r>
      <w:r>
        <w:t xml:space="preserve"> </w:t>
      </w:r>
      <w:r>
        <w:t xml:space="preserve">состоит из следующих страниц:</w:t>
      </w:r>
    </w:p>
    <w:p>
      <w:pPr>
        <w:numPr>
          <w:numId w:val="1030"/>
          <w:ilvl w:val="0"/>
        </w:numPr>
      </w:pPr>
      <w:r>
        <w:rPr>
          <w:rStyle w:val="VerbatimChar"/>
        </w:rPr>
        <w:t xml:space="preserve">auth_page</w:t>
      </w:r>
      <w:r>
        <w:t xml:space="preserve"> </w:t>
      </w:r>
      <w:r>
        <w:t xml:space="preserve">- Авторизация</w:t>
      </w:r>
    </w:p>
    <w:p>
      <w:pPr>
        <w:numPr>
          <w:numId w:val="1030"/>
          <w:ilvl w:val="0"/>
        </w:numPr>
      </w:pPr>
      <w:r>
        <w:rPr>
          <w:rStyle w:val="VerbatimChar"/>
        </w:rPr>
        <w:t xml:space="preserve">main_page</w:t>
      </w:r>
      <w:r>
        <w:t xml:space="preserve"> </w:t>
      </w:r>
      <w:r>
        <w:t xml:space="preserve">- Главная</w:t>
      </w:r>
    </w:p>
    <w:p>
      <w:pPr>
        <w:numPr>
          <w:numId w:val="1030"/>
          <w:ilvl w:val="0"/>
        </w:numPr>
      </w:pPr>
      <w:r>
        <w:rPr>
          <w:rStyle w:val="VerbatimChar"/>
        </w:rPr>
        <w:t xml:space="preserve">my_orders</w:t>
      </w:r>
      <w:r>
        <w:t xml:space="preserve"> </w:t>
      </w:r>
      <w:r>
        <w:t xml:space="preserve">- Мои заявки</w:t>
      </w:r>
    </w:p>
    <w:p>
      <w:pPr>
        <w:numPr>
          <w:numId w:val="1030"/>
          <w:ilvl w:val="0"/>
        </w:numPr>
      </w:pPr>
      <w:r>
        <w:rPr>
          <w:rStyle w:val="VerbatimChar"/>
        </w:rPr>
        <w:t xml:space="preserve">registration_page</w:t>
      </w:r>
      <w:r>
        <w:t xml:space="preserve"> </w:t>
      </w:r>
      <w:r>
        <w:t xml:space="preserve">- Регистрация</w:t>
      </w:r>
    </w:p>
    <w:bookmarkEnd w:id="48"/>
    <w:bookmarkEnd w:id="49"/>
    <w:p>
      <w:pPr>
        <w:pStyle w:val="FirstParagraph"/>
      </w:pPr>
      <w:bookmarkStart w:id="50" w:name="genindex.xhtml"/>
      <w:bookmarkEnd w:id="50"/>
    </w:p>
    <w:p>
      <w:pPr>
        <w:pStyle w:val="Heading1"/>
      </w:pPr>
      <w:bookmarkStart w:id="51" w:name="genindex.xhtml#index"/>
      <w:r>
        <w:t xml:space="preserve">Алфавитный указатель</w:t>
      </w:r>
      <w:bookmarkEnd w:id="5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b3cbbdee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6">
    <w:nsid w:val="4fbe019a"/>
    <w:multiLevelType w:val="multilevel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6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6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0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rtd.lan.arta.kz/docs/guide/ru/minsky/" TargetMode="External" /><Relationship Type="http://schemas.openxmlformats.org/officeDocument/2006/relationships/hyperlink" Id="rId39" Target="http://rtd.lan.arta.kz/docs/synergy-service-rukovodstvo-po-vnedreniyu/ru/latest/First_configuration.html" TargetMode="External" /><Relationship Type="http://schemas.openxmlformats.org/officeDocument/2006/relationships/hyperlink" Id="rId28" Target="http://rtd.lan.arta.kz/docs/synergy-service-rukovodstvo-po-vnedreniyu/ru/latest/Product_structure.html" TargetMode="External" /><Relationship Type="http://schemas.openxmlformats.org/officeDocument/2006/relationships/hyperlink" Id="rId26" Target="http://rtd.lan.arta.kz/docs/synergy-service-rukovodstvo-po-vnedreniyu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rtd.lan.arta.kz/docs/guide/ru/minsky/" TargetMode="External" /><Relationship Type="http://schemas.openxmlformats.org/officeDocument/2006/relationships/hyperlink" Id="rId39" Target="http://rtd.lan.arta.kz/docs/synergy-service-rukovodstvo-po-vnedreniyu/ru/latest/First_configuration.html" TargetMode="External" /><Relationship Type="http://schemas.openxmlformats.org/officeDocument/2006/relationships/hyperlink" Id="rId28" Target="http://rtd.lan.arta.kz/docs/synergy-service-rukovodstvo-po-vnedreniyu/ru/latest/Product_structure.html" TargetMode="External" /><Relationship Type="http://schemas.openxmlformats.org/officeDocument/2006/relationships/hyperlink" Id="rId26" Target="http://rtd.lan.arta.kz/docs/synergy-service-rukovodstvo-po-vnedreniyu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Руководство по внедрению Synergy Service 1.0-alpha</dc:title>
  <dc:creator>unknown</dc:creator>
  <cp:keywords/>
  <dcterms:created xsi:type="dcterms:W3CDTF">2022-11-02T12:04:15Z</dcterms:created>
  <dcterms:modified xsi:type="dcterms:W3CDTF">2022-11-02T12:04:15Z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