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Документация Спецификация требований Synergy Showcase 0.1-alpha</w:t>
      </w:r>
    </w:p>
    <w:p>
      <w:pPr>
        <w:pStyle w:val="Author"/>
      </w:pPr>
      <w:r>
        <w:t xml:space="preserve">unknown</w:t>
      </w:r>
    </w:p>
    <w:p>
      <w:pPr>
        <w:pStyle w:val="Date"/>
      </w:pPr>
      <w:r>
        <w:t xml:space="preserve">2018-12-09T21:24:39Z</w:t>
      </w:r>
    </w:p>
    <w:p>
      <w:pPr>
        <w:pStyle w:val="FirstParagraph"/>
      </w:pPr>
      <w:bookmarkStart w:id="20" w:name="index.xhtml"/>
      <w:bookmarkEnd w:id="20"/>
    </w:p>
    <w:bookmarkStart w:id="28" w:name="index.xhtml#arta-synergy-sm"/>
    <w:p>
      <w:pPr>
        <w:pStyle w:val="Heading1"/>
      </w:pPr>
      <w:r>
        <w:t xml:space="preserve">Инструкция по установке приложения Arta Synergy SM</w:t>
      </w:r>
    </w:p>
    <w:p>
      <w:pPr>
        <w:pStyle w:val="FirstParagraph"/>
      </w:pPr>
      <w:r>
        <w:t xml:space="preserve">Важно! Для работы данного приложения требуется:</w:t>
      </w:r>
    </w:p>
    <w:p>
      <w:pPr>
        <w:numPr>
          <w:numId w:val="1001"/>
          <w:ilvl w:val="0"/>
        </w:numPr>
      </w:pPr>
      <w:r>
        <w:t xml:space="preserve">установить Arta Synergy 3.15 wilkes и выше (инструкция по установке)</w:t>
      </w:r>
    </w:p>
    <w:p>
      <w:pPr>
        <w:numPr>
          <w:numId w:val="1001"/>
          <w:ilvl w:val="0"/>
        </w:numPr>
      </w:pPr>
      <w:r>
        <w:t xml:space="preserve">установить Elasticsearch и Kibana (инструкция по установке)</w:t>
      </w:r>
    </w:p>
    <w:p>
      <w:pPr>
        <w:numPr>
          <w:numId w:val="1001"/>
          <w:ilvl w:val="0"/>
        </w:numPr>
      </w:pPr>
      <w:r>
        <w:t xml:space="preserve">в подсистеме администрирования обновить БД и процессы, завести Системного пользователя (код пользователя - itsm_service_user) с ролями “Администратор” и “Методолог” (“Разработчик Synergy”)</w:t>
      </w:r>
    </w:p>
    <w:p>
      <w:pPr>
        <w:numPr>
          <w:numId w:val="1001"/>
          <w:ilvl w:val="0"/>
        </w:numPr>
      </w:pPr>
      <w:r>
        <w:t xml:space="preserve">в разделе конфигуратора “Специальные справочники” в wilkes / “Формы завершения” в hamming создать новую форму завершения: тип - “Без результата”, код - “no_result”, название - “Без подтверждения”, галочка “Требовать подтверждения результата” выключена</w:t>
      </w:r>
    </w:p>
    <w:p>
      <w:pPr>
        <w:pStyle w:val="FirstParagraph"/>
      </w:pPr>
      <w:r>
        <w:t xml:space="preserve">Arta Synergy SM устанавливается отдельным пакетом. Возможные варианты установки:</w:t>
      </w:r>
    </w:p>
    <w:p>
      <w:pPr>
        <w:numPr>
          <w:numId w:val="1002"/>
          <w:ilvl w:val="0"/>
        </w:numPr>
      </w:pPr>
      <w:r>
        <w:t xml:space="preserve">Clean - полная установка приложения без демо-данных (“чистая” установка с загрузкой конфигурации и преднастроенных БД, хранилища, индексов Elasticsearch и Kibana, дашбордов)</w:t>
      </w:r>
    </w:p>
    <w:p>
      <w:pPr>
        <w:numPr>
          <w:numId w:val="1002"/>
          <w:ilvl w:val="0"/>
        </w:numPr>
      </w:pPr>
      <w:r>
        <w:t xml:space="preserve">Install/Upgrade Configuration - установка приложения и загрузка его конфигурации (соответственно, без БД, хранилища, индексов и дашбордов)</w:t>
      </w:r>
    </w:p>
    <w:p>
      <w:pPr>
        <w:numPr>
          <w:numId w:val="1002"/>
          <w:ilvl w:val="0"/>
        </w:numPr>
      </w:pPr>
      <w:r>
        <w:t xml:space="preserve">Manual - установка только приложения без автоматической загрузки конфигурации, дашбордов и всего остального</w:t>
      </w:r>
    </w:p>
    <w:bookmarkStart w:id="21" w:name="index.xhtml#id1"/>
    <w:p>
      <w:pPr>
        <w:pStyle w:val="Heading2"/>
      </w:pPr>
      <w:r>
        <w:t xml:space="preserve">Подключение репозиториев</w:t>
      </w:r>
    </w:p>
    <w:p>
      <w:pPr>
        <w:pStyle w:val="FirstParagraph"/>
      </w:pPr>
      <w:r>
        <w:t xml:space="preserve">Установочный пакет находится в репозитории</w:t>
      </w:r>
      <w:r>
        <w:t xml:space="preserve"> </w:t>
      </w:r>
      <w:r>
        <w:rPr>
          <w:i/>
        </w:rPr>
        <w:t xml:space="preserve">unstable</w:t>
      </w:r>
      <w:r>
        <w:t xml:space="preserve">. В файле</w:t>
      </w:r>
      <w:r>
        <w:t xml:space="preserve"> </w:t>
      </w:r>
      <w:r>
        <w:rPr>
          <w:i/>
        </w:rPr>
        <w:t xml:space="preserve">/etc/apt/sources.list</w:t>
      </w:r>
      <w:r>
        <w:t xml:space="preserve"> </w:t>
      </w:r>
      <w:r>
        <w:t xml:space="preserve">необходимо добавить либо раскомментировать следующую строку:</w:t>
      </w:r>
    </w:p>
    <w:p>
      <w:pPr>
        <w:numPr>
          <w:numId w:val="1003"/>
          <w:ilvl w:val="0"/>
        </w:numPr>
      </w:pPr>
      <w:r>
        <w:rPr>
          <w:i/>
        </w:rPr>
        <w:t xml:space="preserve">deb http://deb.arta.kz/tengri unstable main contrib non-free</w:t>
      </w:r>
    </w:p>
    <w:bookmarkEnd w:id="21"/>
    <w:bookmarkStart w:id="25" w:name="index.xhtml#id2"/>
    <w:p>
      <w:pPr>
        <w:pStyle w:val="Heading2"/>
      </w:pPr>
      <w:r>
        <w:t xml:space="preserve">Установка приложения</w:t>
      </w:r>
    </w:p>
    <w:bookmarkStart w:id="22" w:name="index.xhtml#id3"/>
    <w:p>
      <w:pPr>
        <w:pStyle w:val="Heading3"/>
      </w:pPr>
      <w:r>
        <w:t xml:space="preserve">Для установки приложения необходимо выполнить команду:</w:t>
      </w:r>
    </w:p>
    <w:p>
      <w:pPr>
        <w:numPr>
          <w:numId w:val="1004"/>
          <w:ilvl w:val="0"/>
        </w:numPr>
      </w:pPr>
      <w:r>
        <w:rPr>
          <w:i/>
        </w:rPr>
        <w:t xml:space="preserve"># apt-get update</w:t>
      </w:r>
    </w:p>
    <w:p>
      <w:pPr>
        <w:numPr>
          <w:numId w:val="1004"/>
          <w:ilvl w:val="0"/>
        </w:numPr>
      </w:pPr>
      <w:r>
        <w:rPr>
          <w:i/>
        </w:rPr>
        <w:t xml:space="preserve"># apt-get install arta-synergy-apps-itsm</w:t>
      </w:r>
    </w:p>
    <w:p>
      <w:pPr>
        <w:pStyle w:val="FirstParagraph"/>
      </w:pPr>
      <w:r>
        <w:t xml:space="preserve">В ходе установки необходимо выполнить следующее:</w:t>
      </w:r>
    </w:p>
    <w:p>
      <w:pPr>
        <w:numPr>
          <w:numId w:val="1005"/>
          <w:ilvl w:val="0"/>
        </w:numPr>
      </w:pPr>
      <w:r>
        <w:t xml:space="preserve">Выбрать тип установки из предложенного списка</w:t>
      </w:r>
    </w:p>
    <w:p>
      <w:pPr>
        <w:numPr>
          <w:numId w:val="1005"/>
          <w:ilvl w:val="0"/>
        </w:numPr>
      </w:pPr>
      <w:r>
        <w:t xml:space="preserve">Указать URL до Synergy, на котором производится работа (</w:t>
      </w:r>
      <w:r>
        <w:rPr>
          <w:i/>
        </w:rPr>
        <w:t xml:space="preserve">например: http://192.168.1.172:8080/Synergy</w:t>
      </w:r>
      <w:r>
        <w:t xml:space="preserve">)</w:t>
      </w:r>
    </w:p>
    <w:p>
      <w:pPr>
        <w:numPr>
          <w:numId w:val="1005"/>
          <w:ilvl w:val="0"/>
        </w:numPr>
      </w:pPr>
      <w:r>
        <w:t xml:space="preserve">Ввести последовательно логин и пароль Системного пользователя</w:t>
      </w:r>
    </w:p>
    <w:p>
      <w:pPr>
        <w:pStyle w:val="FirstParagraph"/>
      </w:pPr>
      <w:r>
        <w:t xml:space="preserve">Для предотвращения дальнейшей нечаянной установки нестабильных версий пакетов из репозитория</w:t>
      </w:r>
      <w:r>
        <w:t xml:space="preserve"> </w:t>
      </w:r>
      <w:r>
        <w:rPr>
          <w:i/>
        </w:rPr>
        <w:t xml:space="preserve">unstable</w:t>
      </w:r>
      <w:r>
        <w:t xml:space="preserve">,</w:t>
      </w:r>
      <w:r>
        <w:t xml:space="preserve"> </w:t>
      </w:r>
      <w:r>
        <w:t xml:space="preserve">после установки</w:t>
      </w:r>
      <w:r>
        <w:t xml:space="preserve"> </w:t>
      </w:r>
      <w:r>
        <w:rPr>
          <w:i/>
        </w:rPr>
        <w:t xml:space="preserve">arta-synergy-apps-itsm</w:t>
      </w:r>
      <w:r>
        <w:t xml:space="preserve"> </w:t>
      </w:r>
      <w:r>
        <w:t xml:space="preserve">рекомендуется его закомментировать в том же файле</w:t>
      </w:r>
      <w:r>
        <w:t xml:space="preserve"> </w:t>
      </w:r>
      <w:r>
        <w:rPr>
          <w:i/>
        </w:rPr>
        <w:t xml:space="preserve">/etc/apt/sources.list</w:t>
      </w:r>
      <w:r>
        <w:t xml:space="preserve">.</w:t>
      </w:r>
    </w:p>
    <w:bookmarkEnd w:id="22"/>
    <w:bookmarkStart w:id="24" w:name="index.xhtml#id4"/>
    <w:p>
      <w:pPr>
        <w:pStyle w:val="Heading3"/>
      </w:pPr>
      <w:r>
        <w:t xml:space="preserve">Для работоспособности личного кабинета необходимо</w:t>
      </w:r>
    </w:p>
    <w:p>
      <w:pPr>
        <w:numPr>
          <w:numId w:val="1006"/>
          <w:ilvl w:val="0"/>
        </w:numPr>
      </w:pPr>
      <w:r>
        <w:t xml:space="preserve">В файле</w:t>
      </w:r>
      <w:r>
        <w:t xml:space="preserve"> </w:t>
      </w:r>
      <w:r>
        <w:rPr>
          <w:i/>
        </w:rPr>
        <w:t xml:space="preserve">/etc/nginx/sites-enabled/synergy-base</w:t>
      </w:r>
      <w:r>
        <w:t xml:space="preserve"> </w:t>
      </w:r>
      <w:r>
        <w:t xml:space="preserve">добавить следующее:</w:t>
      </w:r>
    </w:p>
    <w:p>
      <w:pPr>
        <w:pStyle w:val="BlockText"/>
        <w:numPr>
          <w:numId w:val="1000"/>
          <w:ilvl w:val="0"/>
        </w:numPr>
      </w:pPr>
      <w:r>
        <w:t xml:space="preserve">location /itsm {</w:t>
      </w:r>
    </w:p>
    <w:p>
      <w:pPr>
        <w:pStyle w:val="BlockText"/>
        <w:numPr>
          <w:numId w:val="1000"/>
          <w:ilvl w:val="0"/>
        </w:numPr>
      </w:pPr>
      <w:r>
        <w:t xml:space="preserve">allow all;</w:t>
      </w:r>
    </w:p>
    <w:p>
      <w:pPr>
        <w:pStyle w:val="BlockText"/>
        <w:numPr>
          <w:numId w:val="1000"/>
          <w:ilvl w:val="0"/>
        </w:numPr>
      </w:pPr>
      <w:r>
        <w:t xml:space="preserve">proxy_pass</w:t>
      </w:r>
      <w:r>
        <w:t xml:space="preserve"> </w:t>
      </w:r>
      <w:hyperlink r:id="rId23">
        <w:r>
          <w:rPr>
            <w:rStyle w:val="Hyperlink"/>
          </w:rPr>
          <w:t xml:space="preserve">http://127.0.0.1:8080/itsm</w:t>
        </w:r>
      </w:hyperlink>
      <w:r>
        <w:t xml:space="preserve">;</w:t>
      </w:r>
    </w:p>
    <w:p>
      <w:pPr>
        <w:pStyle w:val="BlockText"/>
        <w:numPr>
          <w:numId w:val="1000"/>
          <w:ilvl w:val="0"/>
        </w:numPr>
      </w:pPr>
      <w:r>
        <w:t xml:space="preserve">proxy_set_header Host $host;</w:t>
      </w:r>
    </w:p>
    <w:p>
      <w:pPr>
        <w:pStyle w:val="BlockText"/>
        <w:numPr>
          <w:numId w:val="1000"/>
          <w:ilvl w:val="0"/>
        </w:numPr>
      </w:pPr>
      <w:r>
        <w:t xml:space="preserve">proxy_set_header X-Real-IP $remote_addr;</w:t>
      </w:r>
    </w:p>
    <w:p>
      <w:pPr>
        <w:pStyle w:val="BlockText"/>
        <w:numPr>
          <w:numId w:val="1000"/>
          <w:ilvl w:val="0"/>
        </w:numPr>
      </w:pPr>
      <w:r>
        <w:t xml:space="preserve">}</w:t>
      </w:r>
    </w:p>
    <w:p>
      <w:pPr>
        <w:numPr>
          <w:numId w:val="1006"/>
          <w:ilvl w:val="0"/>
        </w:numPr>
      </w:pPr>
      <w:r>
        <w:t xml:space="preserve">Проверить наличие очередей и их слушателей для ITSM в двух файлах:</w:t>
      </w:r>
    </w:p>
    <w:p>
      <w:pPr>
        <w:pStyle w:val="FirstParagraph"/>
      </w:pPr>
      <w:r>
        <w:rPr>
          <w:b/>
        </w:rPr>
        <w:t xml:space="preserve">/opt/synergy/jboss/standalone/configuration/standalone-onesynergy.xml</w:t>
      </w:r>
    </w:p>
    <w:p>
      <w:pPr>
        <w:pStyle w:val="DefinitionTerm"/>
        <w:pStyle w:val="BlockText"/>
      </w:pPr>
      <w:r>
        <w:t xml:space="preserve">&lt;jms-queue name=»ItsmFormChangeQueue»&gt;</w:t>
      </w:r>
    </w:p>
    <w:p>
      <w:pPr>
        <w:pStyle w:val="Definition"/>
        <w:pStyle w:val="BlockText"/>
      </w:pPr>
      <w:r>
        <w:t xml:space="preserve">&lt;entry name=»java:jboss/queues/Integration/ItsmFormChangeQueue»/&gt;</w:t>
      </w:r>
    </w:p>
    <w:p>
      <w:pPr>
        <w:pStyle w:val="Definition"/>
        <w:pStyle w:val="BlockText"/>
      </w:pPr>
      <w:r>
        <w:t xml:space="preserve">&lt;durable&gt;true&lt;/durable&gt;</w:t>
      </w:r>
    </w:p>
    <w:p>
      <w:pPr>
        <w:pStyle w:val="BlockText"/>
      </w:pPr>
      <w:r>
        <w:t xml:space="preserve">&lt;/jms-queue&gt;</w:t>
      </w:r>
    </w:p>
    <w:p>
      <w:pPr>
        <w:pStyle w:val="DefinitionTerm"/>
        <w:pStyle w:val="BlockText"/>
      </w:pPr>
      <w:r>
        <w:t xml:space="preserve">&lt;jms-queue name=»ItsmBlockingQueue»&gt;</w:t>
      </w:r>
    </w:p>
    <w:p>
      <w:pPr>
        <w:pStyle w:val="Definition"/>
        <w:pStyle w:val="BlockText"/>
      </w:pPr>
      <w:r>
        <w:t xml:space="preserve">&lt;entry name=»java:jboss/queues/Integration/ItsmBlockingQueue»/&gt;</w:t>
      </w:r>
    </w:p>
    <w:p>
      <w:pPr>
        <w:pStyle w:val="Definition"/>
        <w:pStyle w:val="BlockText"/>
      </w:pPr>
      <w:r>
        <w:t xml:space="preserve">&lt;durable&gt;true&lt;/durable&gt;</w:t>
      </w:r>
    </w:p>
    <w:p>
      <w:pPr>
        <w:pStyle w:val="BlockText"/>
      </w:pPr>
      <w:r>
        <w:t xml:space="preserve">&lt;/jms-queue&gt;</w:t>
      </w:r>
    </w:p>
    <w:p>
      <w:pPr>
        <w:pStyle w:val="DefinitionTerm"/>
        <w:pStyle w:val="BlockText"/>
      </w:pPr>
      <w:r>
        <w:t xml:space="preserve">&lt;jms-queue name=»ItsmCallback_1»&gt;</w:t>
      </w:r>
    </w:p>
    <w:p>
      <w:pPr>
        <w:pStyle w:val="Definition"/>
        <w:pStyle w:val="BlockText"/>
      </w:pPr>
      <w:r>
        <w:t xml:space="preserve">&lt;entry name=»java:jboss/queues/Integration/ItsmCallback_1»/&gt;</w:t>
      </w:r>
    </w:p>
    <w:p>
      <w:pPr>
        <w:pStyle w:val="Definition"/>
        <w:pStyle w:val="BlockText"/>
      </w:pPr>
      <w:r>
        <w:t xml:space="preserve">&lt;durable&gt;true&lt;/durable&gt;</w:t>
      </w:r>
    </w:p>
    <w:p>
      <w:pPr>
        <w:pStyle w:val="BlockText"/>
      </w:pPr>
      <w:r>
        <w:t xml:space="preserve">&lt;/jms-queue&gt;</w:t>
      </w:r>
    </w:p>
    <w:p>
      <w:pPr>
        <w:pStyle w:val="FirstParagraph"/>
      </w:pPr>
      <w:r>
        <w:rPr>
          <w:b/>
        </w:rPr>
        <w:t xml:space="preserve">/opt/synergy/jboss/standalone/configuration/arta/api-observation-configuration.xml</w:t>
      </w:r>
    </w:p>
    <w:p>
      <w:pPr>
        <w:pStyle w:val="DefinitionTerm"/>
        <w:pStyle w:val="BlockText"/>
      </w:pPr>
      <w:r>
        <w:t xml:space="preserve">&lt;listener&gt;</w:t>
      </w:r>
    </w:p>
    <w:p>
      <w:pPr>
        <w:pStyle w:val="Definition"/>
        <w:pStyle w:val="BlockText"/>
      </w:pPr>
      <w:r>
        <w:t xml:space="preserve">&lt;queue&gt;java:jboss/queues/Integration/ItsmBlockingQueue&lt;/queue&gt;</w:t>
      </w:r>
    </w:p>
    <w:p>
      <w:pPr>
        <w:pStyle w:val="Definition"/>
        <w:pStyle w:val="BlockText"/>
      </w:pPr>
      <w:r>
        <w:t xml:space="preserve">&lt;event&gt;event.blocking.itsm.*&lt;/event&gt;</w:t>
      </w:r>
    </w:p>
    <w:p>
      <w:pPr>
        <w:pStyle w:val="BlockText"/>
      </w:pPr>
      <w:r>
        <w:t xml:space="preserve">&lt;/listener&gt;</w:t>
      </w:r>
    </w:p>
    <w:p>
      <w:pPr>
        <w:pStyle w:val="DefinitionTerm"/>
        <w:pStyle w:val="BlockText"/>
      </w:pPr>
      <w:r>
        <w:t xml:space="preserve">&lt;listener&gt;</w:t>
      </w:r>
    </w:p>
    <w:p>
      <w:pPr>
        <w:pStyle w:val="Definition"/>
        <w:pStyle w:val="BlockText"/>
      </w:pPr>
      <w:r>
        <w:t xml:space="preserve">&lt;queue&gt;java:jboss/queues/Integration/ItsmBlockingQueue&lt;/queue&gt;</w:t>
      </w:r>
    </w:p>
    <w:p>
      <w:pPr>
        <w:pStyle w:val="Definition"/>
        <w:pStyle w:val="BlockText"/>
      </w:pPr>
      <w:r>
        <w:t xml:space="preserve">&lt;event&gt;event.blocking.incident.*&lt;/event&gt;</w:t>
      </w:r>
    </w:p>
    <w:p>
      <w:pPr>
        <w:pStyle w:val="BlockText"/>
      </w:pPr>
      <w:r>
        <w:t xml:space="preserve">&lt;/listener&gt;</w:t>
      </w:r>
    </w:p>
    <w:p>
      <w:pPr>
        <w:pStyle w:val="DefinitionTerm"/>
        <w:pStyle w:val="BlockText"/>
      </w:pPr>
      <w:r>
        <w:t xml:space="preserve">&lt;listener&gt;</w:t>
      </w:r>
    </w:p>
    <w:p>
      <w:pPr>
        <w:pStyle w:val="Definition"/>
        <w:pStyle w:val="BlockText"/>
      </w:pPr>
      <w:r>
        <w:t xml:space="preserve">&lt;queue&gt;java:jboss/queues/Integration/ItsmBlockingQueue&lt;/queue&gt;</w:t>
      </w:r>
    </w:p>
    <w:p>
      <w:pPr>
        <w:pStyle w:val="Definition"/>
        <w:pStyle w:val="BlockText"/>
      </w:pPr>
      <w:r>
        <w:t xml:space="preserve">&lt;event&gt;event.blocking.problem.*&lt;/event&gt;</w:t>
      </w:r>
    </w:p>
    <w:p>
      <w:pPr>
        <w:pStyle w:val="BlockText"/>
      </w:pPr>
      <w:r>
        <w:t xml:space="preserve">&lt;/listener&gt;</w:t>
      </w:r>
    </w:p>
    <w:p>
      <w:pPr>
        <w:numPr>
          <w:numId w:val="1007"/>
          <w:ilvl w:val="0"/>
        </w:numPr>
      </w:pPr>
      <w:r>
        <w:t xml:space="preserve">Кроме того, удостоверьтесь, что конфигурационный файл</w:t>
      </w:r>
      <w:r>
        <w:t xml:space="preserve"> </w:t>
      </w:r>
      <w:r>
        <w:rPr>
          <w:i/>
        </w:rPr>
        <w:t xml:space="preserve">/opt/synergy/jboss/standalone/configuration/itsm.properties</w:t>
      </w:r>
      <w:r>
        <w:t xml:space="preserve"> </w:t>
      </w:r>
      <w:r>
        <w:t xml:space="preserve">содержит следующие строки (только с Вашими данными):</w:t>
      </w:r>
    </w:p>
    <w:p>
      <w:pPr>
        <w:pStyle w:val="BlockText"/>
        <w:numPr>
          <w:numId w:val="1000"/>
          <w:ilvl w:val="0"/>
        </w:numPr>
      </w:pPr>
      <w:r>
        <w:t xml:space="preserve">login=1</w:t>
      </w:r>
    </w:p>
    <w:p>
      <w:pPr>
        <w:pStyle w:val="BlockText"/>
        <w:numPr>
          <w:numId w:val="1000"/>
          <w:ilvl w:val="0"/>
        </w:numPr>
      </w:pPr>
      <w:r>
        <w:t xml:space="preserve">password=1</w:t>
      </w:r>
    </w:p>
    <w:p>
      <w:pPr>
        <w:pStyle w:val="BlockText"/>
        <w:numPr>
          <w:numId w:val="1000"/>
          <w:ilvl w:val="0"/>
        </w:numPr>
      </w:pPr>
      <w:r>
        <w:t xml:space="preserve">address=http://127.0.0.1:8080/Synergy</w:t>
      </w:r>
    </w:p>
    <w:p>
      <w:pPr>
        <w:pStyle w:val="BlockText"/>
        <w:numPr>
          <w:numId w:val="1000"/>
          <w:ilvl w:val="0"/>
        </w:numPr>
      </w:pPr>
      <w:r>
        <w:t xml:space="preserve">public_address=http://192.168.1.172:8080/Synergy</w:t>
      </w:r>
    </w:p>
    <w:bookmarkEnd w:id="24"/>
    <w:bookmarkEnd w:id="25"/>
    <w:bookmarkStart w:id="26" w:name="index.xhtml#clean"/>
    <w:p>
      <w:pPr>
        <w:pStyle w:val="Heading2"/>
      </w:pPr>
      <w:r>
        <w:t xml:space="preserve">После установки вариантом “Clean”</w:t>
      </w:r>
    </w:p>
    <w:p>
      <w:pPr>
        <w:pStyle w:val="DefinitionTerm"/>
      </w:pPr>
      <w:r>
        <w:t xml:space="preserve">В Kibana:</w:t>
      </w:r>
    </w:p>
    <w:p>
      <w:pPr>
        <w:pStyle w:val="Definition"/>
        <w:numPr>
          <w:numId w:val="1008"/>
          <w:ilvl w:val="0"/>
        </w:numPr>
      </w:pPr>
      <w:r>
        <w:t xml:space="preserve">проверить, что всё загрузилось, в дашбордах отсутствуют визуализации, помеченные «!»</w:t>
      </w:r>
    </w:p>
    <w:p>
      <w:pPr>
        <w:pStyle w:val="DefinitionTerm"/>
      </w:pPr>
      <w:r>
        <w:t xml:space="preserve">В Конфигураторе:</w:t>
      </w:r>
    </w:p>
    <w:p>
      <w:pPr>
        <w:pStyle w:val="Definition"/>
        <w:numPr>
          <w:numId w:val="1009"/>
          <w:ilvl w:val="0"/>
        </w:numPr>
      </w:pPr>
      <w:r>
        <w:t xml:space="preserve">проверить во внешних модулях “Аналитика по инцидентам” и “Аналитика по проблемам” адрес приложения: должна быть актуальная ссылка на дашборды Kibana (в результате установки она может быть не полностью корректная)</w:t>
      </w:r>
    </w:p>
    <w:p>
      <w:pPr>
        <w:pStyle w:val="DefinitionTerm"/>
      </w:pPr>
      <w:r>
        <w:t xml:space="preserve">В клиентской части:</w:t>
      </w:r>
    </w:p>
    <w:p>
      <w:pPr>
        <w:pStyle w:val="Definition"/>
        <w:numPr>
          <w:numId w:val="1010"/>
          <w:ilvl w:val="0"/>
        </w:numPr>
      </w:pPr>
      <w:r>
        <w:t xml:space="preserve">проверить работоспособность обоих дашбордов</w:t>
      </w:r>
    </w:p>
    <w:p>
      <w:pPr>
        <w:pStyle w:val="Definition"/>
        <w:numPr>
          <w:numId w:val="1010"/>
          <w:ilvl w:val="0"/>
        </w:numPr>
      </w:pPr>
      <w:r>
        <w:t xml:space="preserve">для работоспособности уведомлений на почту клиентам при их создании в реестре “Контакты” необходимо заполнить и поле e-mail</w:t>
      </w:r>
    </w:p>
    <w:p>
      <w:pPr>
        <w:pStyle w:val="Definition"/>
        <w:numPr>
          <w:numId w:val="1010"/>
          <w:ilvl w:val="0"/>
        </w:numPr>
      </w:pPr>
      <w:r>
        <w:t xml:space="preserve">для работоспособности уведомлений о просрочке времени SLA необходимо заполнить поле e-mail в настройках каждого специалиста сервиса</w:t>
      </w:r>
    </w:p>
    <w:bookmarkEnd w:id="26"/>
    <w:bookmarkStart w:id="27" w:name="index.xhtml#install-upgrade-configuration"/>
    <w:p>
      <w:pPr>
        <w:pStyle w:val="Heading2"/>
      </w:pPr>
      <w:r>
        <w:t xml:space="preserve">После установки вариантом “Install/Upgrade Configuration”</w:t>
      </w:r>
    </w:p>
    <w:p>
      <w:pPr>
        <w:pStyle w:val="FirstParagraph"/>
      </w:pPr>
      <w:r>
        <w:t xml:space="preserve">Если версия Synergy 4.0 hamming и выше, то предварительно импортировать приложение /opt/synergy/apps/itsm/itsm_application.7zip</w:t>
      </w:r>
    </w:p>
    <w:p>
      <w:pPr>
        <w:pStyle w:val="DefinitionTerm"/>
      </w:pPr>
      <w:r>
        <w:t xml:space="preserve">В подсистеме администрирования:</w:t>
      </w:r>
    </w:p>
    <w:p>
      <w:pPr>
        <w:pStyle w:val="Definition"/>
        <w:numPr>
          <w:numId w:val="1011"/>
          <w:ilvl w:val="0"/>
        </w:numPr>
      </w:pPr>
      <w:r>
        <w:t xml:space="preserve">обновить БД и процессы</w:t>
      </w:r>
    </w:p>
    <w:p>
      <w:pPr>
        <w:pStyle w:val="Definition"/>
        <w:numPr>
          <w:numId w:val="1011"/>
          <w:ilvl w:val="0"/>
        </w:numPr>
      </w:pPr>
      <w:r>
        <w:t xml:space="preserve">завести пользователей и орг.структуру, в которой будут:</w:t>
      </w:r>
    </w:p>
    <w:p>
      <w:pPr>
        <w:pStyle w:val="Definition"/>
        <w:numPr>
          <w:numId w:val="1011"/>
          <w:ilvl w:val="0"/>
        </w:numPr>
      </w:pPr>
      <w:r>
        <w:t xml:space="preserve">клиенты (которые будут инициировать создание заявок)</w:t>
      </w:r>
    </w:p>
    <w:p>
      <w:pPr>
        <w:pStyle w:val="Definition"/>
        <w:numPr>
          <w:numId w:val="1011"/>
          <w:ilvl w:val="0"/>
        </w:numPr>
      </w:pPr>
      <w:r>
        <w:t xml:space="preserve">специалисты сервиса (оператор и исполнитель для инцидентов, оператор/руководитель и исполнитель для проблем, исполнитель для изменений, сервисные команды)</w:t>
      </w:r>
    </w:p>
    <w:p>
      <w:pPr>
        <w:pStyle w:val="Definition"/>
        <w:numPr>
          <w:numId w:val="1011"/>
          <w:ilvl w:val="0"/>
        </w:numPr>
      </w:pPr>
      <w:r>
        <w:t xml:space="preserve">Системный пользователь (упоминался выше, обязательно должен быть назначен на должность)</w:t>
      </w:r>
    </w:p>
    <w:p>
      <w:pPr>
        <w:pStyle w:val="Definition"/>
        <w:numPr>
          <w:numId w:val="1011"/>
          <w:ilvl w:val="0"/>
        </w:numPr>
      </w:pPr>
      <w:r>
        <w:t xml:space="preserve">раздать права на внешние модули (в простом случае - всем специалистам сервиса, не клиентам)</w:t>
      </w:r>
    </w:p>
    <w:p>
      <w:pPr>
        <w:pStyle w:val="DefinitionTerm"/>
      </w:pPr>
      <w:r>
        <w:t xml:space="preserve">В Конфигураторе:</w:t>
      </w:r>
    </w:p>
    <w:p>
      <w:pPr>
        <w:pStyle w:val="Definition"/>
        <w:numPr>
          <w:numId w:val="1012"/>
          <w:ilvl w:val="0"/>
        </w:numPr>
      </w:pPr>
      <w:r>
        <w:t xml:space="preserve">в форме “Инцидент” вставить значения оператора, исполнителя, системного пользователя по умолчанию</w:t>
      </w:r>
    </w:p>
    <w:p>
      <w:pPr>
        <w:pStyle w:val="Definition"/>
        <w:numPr>
          <w:numId w:val="1012"/>
          <w:ilvl w:val="0"/>
        </w:numPr>
      </w:pPr>
      <w:r>
        <w:t xml:space="preserve">в форме “Проблема” вставить значения ответственного менеджера, руководителя, системного пользователя по умолчанию</w:t>
      </w:r>
    </w:p>
    <w:p>
      <w:pPr>
        <w:pStyle w:val="Definition"/>
        <w:numPr>
          <w:numId w:val="1012"/>
          <w:ilvl w:val="0"/>
        </w:numPr>
      </w:pPr>
      <w:r>
        <w:t xml:space="preserve">в форме “Изменение” вставить значение ответственного менеджера по умолчанию</w:t>
      </w:r>
    </w:p>
    <w:p>
      <w:pPr>
        <w:pStyle w:val="Definition"/>
        <w:numPr>
          <w:numId w:val="1012"/>
          <w:ilvl w:val="0"/>
        </w:numPr>
      </w:pPr>
      <w:r>
        <w:t xml:space="preserve">раздать права на реестры (в простом случае - всем права на всё, кроме удаления, а группе «Admin» - полные права)</w:t>
      </w:r>
    </w:p>
    <w:p>
      <w:pPr>
        <w:pStyle w:val="Definition"/>
        <w:numPr>
          <w:numId w:val="1012"/>
          <w:ilvl w:val="0"/>
        </w:numPr>
      </w:pPr>
      <w:r>
        <w:t xml:space="preserve">раздать права на пункт меню создания “2. Создать инцидент” (в простом случае - всей организации и группе «Admin»)</w:t>
      </w:r>
    </w:p>
    <w:p>
      <w:pPr>
        <w:pStyle w:val="Definition"/>
        <w:numPr>
          <w:numId w:val="1012"/>
          <w:ilvl w:val="0"/>
        </w:numPr>
      </w:pPr>
      <w:r>
        <w:t xml:space="preserve">заменить во внешних модулях “Аналитика по инцидентам” и “Аналитика по проблемам” адрес приложения актуальной ссылкой на дашборды Kibana (достаточно изменить только IP-адрес и при необходимости порт)</w:t>
      </w:r>
    </w:p>
    <w:p>
      <w:pPr>
        <w:pStyle w:val="Definition"/>
        <w:numPr>
          <w:numId w:val="1012"/>
          <w:ilvl w:val="0"/>
        </w:numPr>
      </w:pPr>
      <w:r>
        <w:t xml:space="preserve">сбросить значения счетчиков, либо при необходимости создать свои шаблоны номеров для идентификаторов и применить их в соответствующих формах</w:t>
      </w:r>
    </w:p>
    <w:p>
      <w:pPr>
        <w:pStyle w:val="Definition"/>
        <w:numPr>
          <w:numId w:val="1012"/>
          <w:ilvl w:val="0"/>
        </w:numPr>
      </w:pPr>
      <w:r>
        <w:t xml:space="preserve">проверить, что во всех маршрутах реестра и шаблонах маршрута выбрана форма завершения “Без подтверждения” (упоминалась в начале инструкции)</w:t>
      </w:r>
    </w:p>
    <w:p>
      <w:pPr>
        <w:pStyle w:val="DefinitionTerm"/>
      </w:pPr>
      <w:r>
        <w:t xml:space="preserve">В клиентской части:</w:t>
      </w:r>
    </w:p>
    <w:p>
      <w:pPr>
        <w:pStyle w:val="Definition"/>
        <w:numPr>
          <w:numId w:val="1013"/>
          <w:ilvl w:val="0"/>
        </w:numPr>
      </w:pPr>
      <w:r>
        <w:t xml:space="preserve">создать и заполнить одну запись в реестре “Настройки уведомлений” и после этого для всех групп закрыть доступ на создание и удаление в этом реестре (необходимо для корректной отправки уведомлений на почту)</w:t>
      </w:r>
    </w:p>
    <w:p>
      <w:pPr>
        <w:pStyle w:val="Definition"/>
        <w:numPr>
          <w:numId w:val="1013"/>
          <w:ilvl w:val="0"/>
        </w:numPr>
      </w:pPr>
      <w:r>
        <w:t xml:space="preserve">создать хотя бы по одной тестовой записи в реестрах “Инциденты” и “Проблемы” (необходимо для создания шаблонов индекса в Kibana)</w:t>
      </w:r>
    </w:p>
    <w:p>
      <w:pPr>
        <w:pStyle w:val="DefinitionTerm"/>
      </w:pPr>
      <w:r>
        <w:t xml:space="preserve">В подсистеме администрирования:</w:t>
      </w:r>
    </w:p>
    <w:p>
      <w:pPr>
        <w:pStyle w:val="Definition"/>
        <w:numPr>
          <w:numId w:val="1014"/>
          <w:ilvl w:val="0"/>
        </w:numPr>
      </w:pPr>
      <w:r>
        <w:t xml:space="preserve">проиндексировать данные форм</w:t>
      </w:r>
    </w:p>
    <w:p>
      <w:pPr>
        <w:pStyle w:val="DefinitionTerm"/>
      </w:pPr>
      <w:r>
        <w:t xml:space="preserve">В Kibana:</w:t>
      </w:r>
    </w:p>
    <w:p>
      <w:pPr>
        <w:pStyle w:val="Definition"/>
        <w:numPr>
          <w:numId w:val="1015"/>
          <w:ilvl w:val="0"/>
        </w:numPr>
      </w:pPr>
      <w:r>
        <w:t xml:space="preserve">создать 2 шаблона индекса: «r-itsm_registry_incidents» и «r-itsm_registry_problems»</w:t>
      </w:r>
    </w:p>
    <w:p>
      <w:pPr>
        <w:pStyle w:val="Definition"/>
        <w:numPr>
          <w:numId w:val="1015"/>
          <w:ilvl w:val="0"/>
        </w:numPr>
      </w:pPr>
      <w:r>
        <w:t xml:space="preserve">импортировать в Kibana (Management -&gt; Saved Objects -&gt; Import) конфигурацию их 2-х дашбордов из файла …/configuration/arta/apps/sm_dashboards.json</w:t>
      </w:r>
    </w:p>
    <w:p>
      <w:pPr>
        <w:pStyle w:val="Definition"/>
        <w:numPr>
          <w:numId w:val="1015"/>
          <w:ilvl w:val="0"/>
        </w:numPr>
      </w:pPr>
      <w:r>
        <w:t xml:space="preserve">импортировать в Kibana (Management -&gt; Saved Objects -&gt; Import) конфигурацию из 27-и визуализаций из файла …/configuration/arta/apps/sm_visualizations.json</w:t>
      </w:r>
    </w:p>
    <w:p>
      <w:pPr>
        <w:pStyle w:val="Definition"/>
        <w:numPr>
          <w:numId w:val="1015"/>
          <w:ilvl w:val="0"/>
        </w:numPr>
      </w:pPr>
      <w:r>
        <w:t xml:space="preserve">проверить, что всё загрузилось, в дашбордах отсутствуют визуализации, помеченные «!» (при этом возможно наличие визуализаций со значениями “0”, “?”, “No results found”, и это всё не является ошибкой)</w:t>
      </w:r>
    </w:p>
    <w:p>
      <w:pPr>
        <w:pStyle w:val="DefinitionTerm"/>
      </w:pPr>
      <w:r>
        <w:t xml:space="preserve">В клиентской части:</w:t>
      </w:r>
    </w:p>
    <w:p>
      <w:pPr>
        <w:pStyle w:val="Definition"/>
        <w:numPr>
          <w:numId w:val="1016"/>
          <w:ilvl w:val="0"/>
        </w:numPr>
      </w:pPr>
      <w:r>
        <w:t xml:space="preserve">проверить работоспособность обоих дашбордов</w:t>
      </w:r>
    </w:p>
    <w:p>
      <w:pPr>
        <w:pStyle w:val="Definition"/>
        <w:numPr>
          <w:numId w:val="1016"/>
          <w:ilvl w:val="0"/>
        </w:numPr>
      </w:pPr>
      <w:r>
        <w:t xml:space="preserve">для работоспособности уведомлений на почту клиентам при их создании в реестре “Контакты” необходимо заполнить и поле e-mail</w:t>
      </w:r>
    </w:p>
    <w:p>
      <w:pPr>
        <w:pStyle w:val="Definition"/>
        <w:numPr>
          <w:numId w:val="1016"/>
          <w:ilvl w:val="0"/>
        </w:numPr>
      </w:pPr>
      <w:r>
        <w:t xml:space="preserve">для работоспособности уведомлений о просрочке времени SLA необходимо заполнить поле e-mail в настройках каждого специалиста сервиса</w:t>
      </w:r>
    </w:p>
    <w:bookmarkEnd w:id="27"/>
    <w:bookmarkEnd w:id="28"/>
    <w:p>
      <w:pPr>
        <w:pStyle w:val="FirstParagraph"/>
      </w:pPr>
      <w:bookmarkStart w:id="29" w:name="genindex.xhtml"/>
      <w:bookmarkEnd w:id="29"/>
    </w:p>
    <w:p>
      <w:pPr>
        <w:pStyle w:val="Heading1"/>
      </w:pPr>
      <w:bookmarkStart w:id="30" w:name="genindex.xhtml#index"/>
      <w:r>
        <w:t xml:space="preserve">Алфавитный указатель</w:t>
      </w:r>
      <w:bookmarkEnd w:id="30"/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170cd2d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abstractNum w:abstractNumId="99201">
    <w:nsid w:val="71315dca"/>
    <w:multiLevelType w:val="multilevel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Roman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520" w:hanging="480"/>
      </w:pPr>
    </w:lvl>
    <w:lvl w:ilvl="8">
      <w:start w:val="1"/>
      <w:numFmt w:val="lowerRoman"/>
      <w:lvlText w:val="%9."/>
      <w:lvlJc w:val="left"/>
      <w:pPr>
        <w:tabs>
          <w:tab w:val="num" w:pos="5760"/>
        </w:tabs>
        <w:ind w:left="6240" w:hanging="480"/>
      </w:pPr>
    </w:lvl>
  </w:abstractNum>
  <w:abstractNum w:abstractNumId="99203">
    <w:nsid w:val="47261bad"/>
    <w:multiLevelType w:val="multilevel"/>
    <w:lvl w:ilvl="0">
      <w:start w:val="3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3"/>
      <w:numFmt w:val="lowerLetter"/>
      <w:lvlText w:val="%2."/>
      <w:lvlJc w:val="left"/>
      <w:pPr>
        <w:tabs>
          <w:tab w:val="num" w:pos="720"/>
        </w:tabs>
        <w:ind w:left="1200" w:hanging="480"/>
      </w:pPr>
    </w:lvl>
    <w:lvl w:ilvl="2">
      <w:start w:val="3"/>
      <w:numFmt w:val="lowerRoman"/>
      <w:lvlText w:val="%3."/>
      <w:lvlJc w:val="left"/>
      <w:pPr>
        <w:tabs>
          <w:tab w:val="num" w:pos="1440"/>
        </w:tabs>
        <w:ind w:left="1920" w:hanging="480"/>
      </w:pPr>
    </w:lvl>
    <w:lvl w:ilvl="3">
      <w:start w:val="3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3"/>
      <w:numFmt w:val="lowerLetter"/>
      <w:lvlText w:val="%5."/>
      <w:lvlJc w:val="left"/>
      <w:pPr>
        <w:tabs>
          <w:tab w:val="num" w:pos="2880"/>
        </w:tabs>
        <w:ind w:left="3360" w:hanging="480"/>
      </w:pPr>
    </w:lvl>
    <w:lvl w:ilvl="5">
      <w:start w:val="3"/>
      <w:numFmt w:val="lowerRoman"/>
      <w:lvlText w:val="%6."/>
      <w:lvlJc w:val="left"/>
      <w:pPr>
        <w:tabs>
          <w:tab w:val="num" w:pos="3600"/>
        </w:tabs>
        <w:ind w:left="4080" w:hanging="480"/>
      </w:pPr>
    </w:lvl>
    <w:lvl w:ilvl="6">
      <w:start w:val="3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3"/>
      <w:numFmt w:val="lowerLetter"/>
      <w:lvlText w:val="%8."/>
      <w:lvlJc w:val="left"/>
      <w:pPr>
        <w:tabs>
          <w:tab w:val="num" w:pos="5040"/>
        </w:tabs>
        <w:ind w:left="5520" w:hanging="480"/>
      </w:pPr>
    </w:lvl>
    <w:lvl w:ilvl="8">
      <w:start w:val="3"/>
      <w:numFmt w:val="lowerRoman"/>
      <w:lvlText w:val="%9.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3" Target="http://127.0.0.1:8080/itsm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3" Target="http://127.0.0.1:8080/its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Документация Спецификация требований Synergy Showcase 0.1-alpha</dc:title>
  <dc:creator>unknown</dc:creator>
  <cp:keywords/>
  <dcterms:created xsi:type="dcterms:W3CDTF">2018-12-10T03:24:39Z</dcterms:created>
  <dcterms:modified xsi:type="dcterms:W3CDTF">2018-12-10T03:24:39Z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