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26.png" ContentType="image/png"/>
  <Override PartName="/word/media/rId76.png" ContentType="image/png"/>
  <Override PartName="/word/media/rId80.png" ContentType="image/png"/>
  <Override PartName="/word/media/rId78.png" ContentType="image/png"/>
  <Override PartName="/word/media/rId52.png" ContentType="image/png"/>
  <Override PartName="/word/media/rId23.png" ContentType="image/png"/>
  <Override PartName="/word/media/rId63.png" ContentType="image/png"/>
  <Override PartName="/word/media/rId65.png" ContentType="image/png"/>
  <Override PartName="/word/media/rId60.png" ContentType="image/png"/>
  <Override PartName="/word/media/rId38.png" ContentType="image/png"/>
  <Override PartName="/word/media/rId44.png" ContentType="image/png"/>
  <Override PartName="/word/media/rId46.png" ContentType="image/png"/>
  <Override PartName="/word/media/rId73.png" ContentType="image/png"/>
  <Override PartName="/word/media/rId68.png" ContentType="image/png"/>
  <Override PartName="/word/media/rId32.png" ContentType="image/png"/>
  <Override PartName="/word/media/rId55.png" ContentType="image/png"/>
  <Override PartName="/word/media/rId71.png" ContentType="image/png"/>
  <Override PartName="/word/media/rId41.png" ContentType="image/png"/>
  <Override PartName="/word/media/rId90.png" ContentType="image/png"/>
  <Override PartName="/word/media/rId34.png" ContentType="image/png"/>
  <Override PartName="/word/media/rId36.png" ContentType="image/png"/>
  <Override PartName="/word/media/rId85.png" ContentType="image/png"/>
  <Override PartName="/word/media/rId83.png" ContentType="image/png"/>
  <Override PartName="/word/media/rId8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Инструкция по настройке и использованию Synergy Customers 3.9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2023-10-27T07:17:28Z</w:t>
      </w:r>
    </w:p>
    <w:p>
      <w:pPr>
        <w:pStyle w:val="FirstParagraph"/>
      </w:pPr>
      <w:bookmarkStart w:id="20" w:name="index.xhtml"/>
      <w:bookmarkEnd w:id="20"/>
    </w:p>
    <w:bookmarkStart w:id="21" w:name="index.xhtml#synergy-customers"/>
    <w:p>
      <w:pPr>
        <w:pStyle w:val="Heading1"/>
      </w:pPr>
      <w:r>
        <w:t xml:space="preserve">Инструкции по настройке Synergy Customers</w:t>
      </w:r>
    </w:p>
    <w:p>
      <w:pPr>
        <w:pStyle w:val="Compact"/>
        <w:numPr>
          <w:numId w:val="1001"/>
          <w:ilvl w:val="0"/>
        </w:numPr>
      </w:pPr>
      <w:hyperlink w:anchor="guide.xhtml">
        <w:r>
          <w:rPr>
            <w:rStyle w:val="Hyperlink"/>
          </w:rPr>
          <w:t xml:space="preserve">1. Описание Synergy Customers</w:t>
        </w:r>
      </w:hyperlink>
    </w:p>
    <w:p>
      <w:pPr>
        <w:pStyle w:val="Compact"/>
        <w:numPr>
          <w:numId w:val="1002"/>
          <w:ilvl w:val="1"/>
        </w:numPr>
      </w:pPr>
      <w:hyperlink w:anchor="guide.xhtml#id1">
        <w:r>
          <w:rPr>
            <w:rStyle w:val="Hyperlink"/>
          </w:rPr>
          <w:t xml:space="preserve">1.1. Страница входа</w:t>
        </w:r>
      </w:hyperlink>
    </w:p>
    <w:p>
      <w:pPr>
        <w:pStyle w:val="Compact"/>
        <w:numPr>
          <w:numId w:val="1002"/>
          <w:ilvl w:val="1"/>
        </w:numPr>
      </w:pPr>
      <w:hyperlink w:anchor="guide.xhtml#id2">
        <w:r>
          <w:rPr>
            <w:rStyle w:val="Hyperlink"/>
          </w:rPr>
          <w:t xml:space="preserve">1.2. Фильтры реестра</w:t>
        </w:r>
      </w:hyperlink>
    </w:p>
    <w:p>
      <w:pPr>
        <w:pStyle w:val="Compact"/>
        <w:numPr>
          <w:numId w:val="1002"/>
          <w:ilvl w:val="1"/>
        </w:numPr>
      </w:pPr>
      <w:hyperlink w:anchor="guide.xhtml#id3">
        <w:r>
          <w:rPr>
            <w:rStyle w:val="Hyperlink"/>
          </w:rPr>
          <w:t xml:space="preserve">1.3. Расширенный поиск</w:t>
        </w:r>
      </w:hyperlink>
    </w:p>
    <w:p>
      <w:pPr>
        <w:pStyle w:val="Compact"/>
        <w:numPr>
          <w:numId w:val="1002"/>
          <w:ilvl w:val="1"/>
        </w:numPr>
      </w:pPr>
      <w:hyperlink w:anchor="guide.xhtml#id4">
        <w:r>
          <w:rPr>
            <w:rStyle w:val="Hyperlink"/>
          </w:rPr>
          <w:t xml:space="preserve">1.4. Сохраняемые фильтры</w:t>
        </w:r>
      </w:hyperlink>
    </w:p>
    <w:p>
      <w:pPr>
        <w:pStyle w:val="Compact"/>
        <w:numPr>
          <w:numId w:val="1002"/>
          <w:ilvl w:val="1"/>
        </w:numPr>
      </w:pPr>
      <w:hyperlink w:anchor="guide.xhtml#id5">
        <w:r>
          <w:rPr>
            <w:rStyle w:val="Hyperlink"/>
          </w:rPr>
          <w:t xml:space="preserve">1.5. Создание плана продаж</w:t>
        </w:r>
      </w:hyperlink>
    </w:p>
    <w:p>
      <w:pPr>
        <w:pStyle w:val="Compact"/>
        <w:numPr>
          <w:numId w:val="1002"/>
          <w:ilvl w:val="1"/>
        </w:numPr>
      </w:pPr>
      <w:hyperlink w:anchor="guide.xhtml#id6">
        <w:r>
          <w:rPr>
            <w:rStyle w:val="Hyperlink"/>
          </w:rPr>
          <w:t xml:space="preserve">1.6. Распределение сумм плана продаж по менеджерам</w:t>
        </w:r>
      </w:hyperlink>
    </w:p>
    <w:p>
      <w:pPr>
        <w:pStyle w:val="Compact"/>
        <w:numPr>
          <w:numId w:val="1002"/>
          <w:ilvl w:val="1"/>
        </w:numPr>
      </w:pPr>
      <w:hyperlink w:anchor="guide.xhtml#id7">
        <w:r>
          <w:rPr>
            <w:rStyle w:val="Hyperlink"/>
          </w:rPr>
          <w:t xml:space="preserve">1.7. Автоматическое создание персональных планов</w:t>
        </w:r>
      </w:hyperlink>
    </w:p>
    <w:p>
      <w:pPr>
        <w:pStyle w:val="Compact"/>
        <w:numPr>
          <w:numId w:val="1002"/>
          <w:ilvl w:val="1"/>
        </w:numPr>
      </w:pPr>
      <w:hyperlink w:anchor="guide.xhtml#id8">
        <w:r>
          <w:rPr>
            <w:rStyle w:val="Hyperlink"/>
          </w:rPr>
          <w:t xml:space="preserve">1.8. Создание контакта</w:t>
        </w:r>
      </w:hyperlink>
    </w:p>
    <w:p>
      <w:pPr>
        <w:pStyle w:val="Compact"/>
        <w:numPr>
          <w:numId w:val="1002"/>
          <w:ilvl w:val="1"/>
        </w:numPr>
      </w:pPr>
      <w:hyperlink w:anchor="guide.xhtml#id9">
        <w:r>
          <w:rPr>
            <w:rStyle w:val="Hyperlink"/>
          </w:rPr>
          <w:t xml:space="preserve">1.9. Создание организации</w:t>
        </w:r>
      </w:hyperlink>
    </w:p>
    <w:p>
      <w:pPr>
        <w:pStyle w:val="Compact"/>
        <w:numPr>
          <w:numId w:val="1002"/>
          <w:ilvl w:val="1"/>
        </w:numPr>
      </w:pPr>
      <w:hyperlink w:anchor="guide.xhtml#id10">
        <w:r>
          <w:rPr>
            <w:rStyle w:val="Hyperlink"/>
          </w:rPr>
          <w:t xml:space="preserve">1.10. Создание лида</w:t>
        </w:r>
      </w:hyperlink>
    </w:p>
    <w:p>
      <w:pPr>
        <w:pStyle w:val="Compact"/>
        <w:numPr>
          <w:numId w:val="1002"/>
          <w:ilvl w:val="1"/>
        </w:numPr>
      </w:pPr>
      <w:hyperlink w:anchor="guide.xhtml#id11">
        <w:r>
          <w:rPr>
            <w:rStyle w:val="Hyperlink"/>
          </w:rPr>
          <w:t xml:space="preserve">1.11. Конвертация лида в сделку</w:t>
        </w:r>
      </w:hyperlink>
    </w:p>
    <w:p>
      <w:pPr>
        <w:pStyle w:val="Compact"/>
        <w:numPr>
          <w:numId w:val="1002"/>
          <w:ilvl w:val="1"/>
        </w:numPr>
      </w:pPr>
      <w:hyperlink w:anchor="guide.xhtml#id12">
        <w:r>
          <w:rPr>
            <w:rStyle w:val="Hyperlink"/>
          </w:rPr>
          <w:t xml:space="preserve">1.12. Создание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13">
        <w:r>
          <w:rPr>
            <w:rStyle w:val="Hyperlink"/>
          </w:rPr>
          <w:t xml:space="preserve">1.13. Смена стадии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14">
        <w:r>
          <w:rPr>
            <w:rStyle w:val="Hyperlink"/>
          </w:rPr>
          <w:t xml:space="preserve">1.14. Конвертация сделки в договор</w:t>
        </w:r>
      </w:hyperlink>
    </w:p>
    <w:p>
      <w:pPr>
        <w:pStyle w:val="Compact"/>
        <w:numPr>
          <w:numId w:val="1002"/>
          <w:ilvl w:val="1"/>
        </w:numPr>
      </w:pPr>
      <w:hyperlink w:anchor="guide.xhtml#id15">
        <w:r>
          <w:rPr>
            <w:rStyle w:val="Hyperlink"/>
          </w:rPr>
          <w:t xml:space="preserve">1.15. Массовые действия: назначение менеджера и удаление записи</w:t>
        </w:r>
      </w:hyperlink>
    </w:p>
    <w:p>
      <w:pPr>
        <w:pStyle w:val="Compact"/>
        <w:numPr>
          <w:numId w:val="1002"/>
          <w:ilvl w:val="1"/>
        </w:numPr>
      </w:pPr>
      <w:hyperlink w:anchor="guide.xhtml#id16">
        <w:r>
          <w:rPr>
            <w:rStyle w:val="Hyperlink"/>
          </w:rPr>
          <w:t xml:space="preserve">1.16. Выгрузка</w:t>
        </w:r>
      </w:hyperlink>
    </w:p>
    <w:p>
      <w:pPr>
        <w:pStyle w:val="Compact"/>
        <w:numPr>
          <w:numId w:val="1002"/>
          <w:ilvl w:val="1"/>
        </w:numPr>
      </w:pPr>
      <w:hyperlink w:anchor="guide.xhtml#id17">
        <w:r>
          <w:rPr>
            <w:rStyle w:val="Hyperlink"/>
          </w:rPr>
          <w:t xml:space="preserve">1.17. Справочники</w:t>
        </w:r>
      </w:hyperlink>
    </w:p>
    <w:p>
      <w:pPr>
        <w:pStyle w:val="Compact"/>
        <w:numPr>
          <w:numId w:val="1002"/>
          <w:ilvl w:val="1"/>
        </w:numPr>
      </w:pPr>
      <w:hyperlink w:anchor="guide.xhtml#id18">
        <w:r>
          <w:rPr>
            <w:rStyle w:val="Hyperlink"/>
          </w:rPr>
          <w:t xml:space="preserve">1.18. Календарь</w:t>
        </w:r>
      </w:hyperlink>
    </w:p>
    <w:p>
      <w:pPr>
        <w:pStyle w:val="Compact"/>
        <w:numPr>
          <w:numId w:val="1002"/>
          <w:ilvl w:val="1"/>
        </w:numPr>
      </w:pPr>
      <w:hyperlink w:anchor="guide.xhtml#id19">
        <w:r>
          <w:rPr>
            <w:rStyle w:val="Hyperlink"/>
          </w:rPr>
          <w:t xml:space="preserve">1.19. Задачи в календаре</w:t>
        </w:r>
      </w:hyperlink>
    </w:p>
    <w:p>
      <w:pPr>
        <w:pStyle w:val="Compact"/>
        <w:numPr>
          <w:numId w:val="1002"/>
          <w:ilvl w:val="1"/>
        </w:numPr>
      </w:pPr>
      <w:hyperlink w:anchor="guide.xhtml#id20">
        <w:r>
          <w:rPr>
            <w:rStyle w:val="Hyperlink"/>
          </w:rPr>
          <w:t xml:space="preserve">1.20. Уведомления по задачам</w:t>
        </w:r>
      </w:hyperlink>
    </w:p>
    <w:p>
      <w:pPr>
        <w:pStyle w:val="Compact"/>
        <w:numPr>
          <w:numId w:val="1001"/>
          <w:ilvl w:val="0"/>
        </w:numPr>
      </w:pPr>
      <w:hyperlink w:anchor="description.xhtml">
        <w:r>
          <w:rPr>
            <w:rStyle w:val="Hyperlink"/>
          </w:rPr>
          <w:t xml:space="preserve">2. Описание компонентов Synergy Customers</w:t>
        </w:r>
      </w:hyperlink>
    </w:p>
    <w:p>
      <w:pPr>
        <w:pStyle w:val="Compact"/>
        <w:numPr>
          <w:numId w:val="1003"/>
          <w:ilvl w:val="1"/>
        </w:numPr>
      </w:pPr>
      <w:hyperlink w:anchor="description.xhtml#id1">
        <w:r>
          <w:rPr>
            <w:rStyle w:val="Hyperlink"/>
          </w:rPr>
          <w:t xml:space="preserve">2.1. Рекомендации по настройке форм</w:t>
        </w:r>
      </w:hyperlink>
    </w:p>
    <w:p>
      <w:pPr>
        <w:pStyle w:val="Compact"/>
        <w:numPr>
          <w:numId w:val="1003"/>
          <w:ilvl w:val="1"/>
        </w:numPr>
      </w:pPr>
      <w:hyperlink w:anchor="description.xhtml#c">
        <w:r>
          <w:rPr>
            <w:rStyle w:val="Hyperlink"/>
          </w:rPr>
          <w:t xml:space="preserve">2.2. Cправочник «Стадии сделки»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5">
        <w:r>
          <w:rPr>
            <w:rStyle w:val="Hyperlink"/>
          </w:rPr>
          <w:t xml:space="preserve">2.3. Cправочник «Стадии договора»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7">
        <w:r>
          <w:rPr>
            <w:rStyle w:val="Hyperlink"/>
          </w:rPr>
          <w:t xml:space="preserve">2.4. Cправочник «Стадии лида»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8">
        <w:r>
          <w:rPr>
            <w:rStyle w:val="Hyperlink"/>
          </w:rPr>
          <w:t xml:space="preserve">2.5. Импорт данных</w:t>
        </w:r>
      </w:hyperlink>
    </w:p>
    <w:p>
      <w:pPr>
        <w:pStyle w:val="Compact"/>
        <w:numPr>
          <w:numId w:val="1001"/>
          <w:ilvl w:val="0"/>
        </w:numPr>
      </w:pPr>
      <w:hyperlink w:anchor="faq.xhtml">
        <w:r>
          <w:rPr>
            <w:rStyle w:val="Hyperlink"/>
          </w:rPr>
          <w:t xml:space="preserve">3. Настройка и кастомизация Synergy Customers</w:t>
        </w:r>
      </w:hyperlink>
    </w:p>
    <w:p>
      <w:pPr>
        <w:pStyle w:val="Compact"/>
        <w:numPr>
          <w:numId w:val="1004"/>
          <w:ilvl w:val="1"/>
        </w:numPr>
      </w:pPr>
      <w:hyperlink w:anchor="faq.xhtml#id1">
        <w:r>
          <w:rPr>
            <w:rStyle w:val="Hyperlink"/>
          </w:rPr>
          <w:t xml:space="preserve">3.1. Можно ли изменить дизайн продукта?</w:t>
        </w:r>
      </w:hyperlink>
    </w:p>
    <w:p>
      <w:pPr>
        <w:pStyle w:val="Compact"/>
        <w:numPr>
          <w:numId w:val="1004"/>
          <w:ilvl w:val="1"/>
        </w:numPr>
      </w:pPr>
      <w:hyperlink w:anchor="faq.xhtml#url">
        <w:r>
          <w:rPr>
            <w:rStyle w:val="Hyperlink"/>
          </w:rPr>
          <w:t xml:space="preserve">3.2. Как изменить URL-адрес приложения?</w:t>
        </w:r>
      </w:hyperlink>
    </w:p>
    <w:p>
      <w:pPr>
        <w:pStyle w:val="Compact"/>
        <w:numPr>
          <w:numId w:val="1004"/>
          <w:ilvl w:val="1"/>
        </w:numPr>
      </w:pPr>
      <w:hyperlink w:anchor="faq.xhtml#id3">
        <w:r>
          <w:rPr>
            <w:rStyle w:val="Hyperlink"/>
          </w:rPr>
          <w:t xml:space="preserve">3.3. Как изменить поля в карточках?</w:t>
        </w:r>
      </w:hyperlink>
    </w:p>
    <w:p>
      <w:pPr>
        <w:pStyle w:val="Compact"/>
        <w:numPr>
          <w:numId w:val="1004"/>
          <w:ilvl w:val="1"/>
        </w:numPr>
      </w:pPr>
      <w:hyperlink w:anchor="faq.xhtml#id5">
        <w:r>
          <w:rPr>
            <w:rStyle w:val="Hyperlink"/>
          </w:rPr>
          <w:t xml:space="preserve">3.4. Как изменить стадии сделки?</w:t>
        </w:r>
      </w:hyperlink>
    </w:p>
    <w:p>
      <w:pPr>
        <w:pStyle w:val="Compact"/>
        <w:numPr>
          <w:numId w:val="1004"/>
          <w:ilvl w:val="1"/>
        </w:numPr>
      </w:pPr>
      <w:hyperlink w:anchor="faq.xhtml#id7">
        <w:r>
          <w:rPr>
            <w:rStyle w:val="Hyperlink"/>
          </w:rPr>
          <w:t xml:space="preserve">3.5. Как изменить стадии договора?</w:t>
        </w:r>
      </w:hyperlink>
    </w:p>
    <w:p>
      <w:pPr>
        <w:pStyle w:val="Compact"/>
        <w:numPr>
          <w:numId w:val="1004"/>
          <w:ilvl w:val="1"/>
        </w:numPr>
      </w:pPr>
      <w:hyperlink w:anchor="faq.xhtml#id9">
        <w:r>
          <w:rPr>
            <w:rStyle w:val="Hyperlink"/>
          </w:rPr>
          <w:t xml:space="preserve">3.6. Как изменить стадии лида?</w:t>
        </w:r>
      </w:hyperlink>
    </w:p>
    <w:bookmarkEnd w:id="21"/>
    <w:p>
      <w:pPr>
        <w:pStyle w:val="FirstParagraph"/>
      </w:pPr>
      <w:bookmarkStart w:id="22" w:name="guide.xhtml"/>
      <w:bookmarkEnd w:id="22"/>
    </w:p>
    <w:bookmarkStart w:id="93" w:name="guide.xhtml#synergy-customers"/>
    <w:p>
      <w:pPr>
        <w:pStyle w:val="Heading1"/>
      </w:pPr>
      <w:r>
        <w:t xml:space="preserve">1. Описание Synergy Customers</w:t>
      </w:r>
    </w:p>
    <w:bookmarkStart w:id="25" w:name="guide.xhtml#id1"/>
    <w:p>
      <w:pPr>
        <w:pStyle w:val="Heading2"/>
      </w:pPr>
      <w:r>
        <w:t xml:space="preserve">1.1. Страница входа</w:t>
      </w:r>
    </w:p>
    <w:p>
      <w:pPr>
        <w:pStyle w:val="FirstParagraph"/>
      </w:pPr>
      <w:r>
        <w:t xml:space="preserve">На первой странице Synergy Customers расположен раздел</w:t>
      </w:r>
      <w:r>
        <w:t xml:space="preserve"> </w:t>
      </w:r>
      <w:r>
        <w:rPr>
          <w:b/>
        </w:rPr>
        <w:t xml:space="preserve">Календарь</w:t>
      </w:r>
      <w:r>
        <w:t xml:space="preserve"> </w:t>
      </w:r>
      <w:r>
        <w:t xml:space="preserve">- специальный раздел для планирования оперативных дел и поручений. Как собственных, так и для подчиненных.</w:t>
      </w:r>
    </w:p>
    <w:p>
      <w:pPr>
        <w:pStyle w:val="BodyText"/>
      </w:pPr>
      <w:r>
        <w:t xml:space="preserve">На левой панели расположены разделы Synergy Customers:</w:t>
      </w:r>
    </w:p>
    <w:p>
      <w:pPr>
        <w:numPr>
          <w:numId w:val="1005"/>
          <w:ilvl w:val="0"/>
        </w:numPr>
      </w:pPr>
      <w:r>
        <w:t xml:space="preserve">Контакты (список)</w:t>
      </w:r>
    </w:p>
    <w:p>
      <w:pPr>
        <w:numPr>
          <w:numId w:val="1005"/>
          <w:ilvl w:val="0"/>
        </w:numPr>
      </w:pPr>
      <w:r>
        <w:t xml:space="preserve">Организации (список)</w:t>
      </w:r>
    </w:p>
    <w:p>
      <w:pPr>
        <w:numPr>
          <w:numId w:val="1005"/>
          <w:ilvl w:val="0"/>
        </w:numPr>
      </w:pPr>
      <w:r>
        <w:t xml:space="preserve">Лиды (Канбан-доска)</w:t>
      </w:r>
    </w:p>
    <w:p>
      <w:pPr>
        <w:numPr>
          <w:numId w:val="1005"/>
          <w:ilvl w:val="0"/>
        </w:numPr>
      </w:pPr>
      <w:r>
        <w:t xml:space="preserve">Сделки (Канбан-доска)</w:t>
      </w:r>
    </w:p>
    <w:p>
      <w:pPr>
        <w:numPr>
          <w:numId w:val="1005"/>
          <w:ilvl w:val="0"/>
        </w:numPr>
      </w:pPr>
      <w:r>
        <w:t xml:space="preserve">Активности (список)</w:t>
      </w:r>
    </w:p>
    <w:p>
      <w:pPr>
        <w:numPr>
          <w:numId w:val="1005"/>
          <w:ilvl w:val="0"/>
        </w:numPr>
      </w:pPr>
      <w:r>
        <w:t xml:space="preserve">Планы продаж (список)</w:t>
      </w:r>
    </w:p>
    <w:p>
      <w:pPr>
        <w:numPr>
          <w:numId w:val="1005"/>
          <w:ilvl w:val="0"/>
        </w:numPr>
      </w:pPr>
      <w:r>
        <w:t xml:space="preserve">Договоры (список)</w:t>
      </w:r>
    </w:p>
    <w:p>
      <w:pPr>
        <w:numPr>
          <w:numId w:val="1005"/>
          <w:ilvl w:val="0"/>
        </w:numPr>
      </w:pPr>
      <w:r>
        <w:t xml:space="preserve">Календарь (календарь задач)</w:t>
      </w:r>
    </w:p>
    <w:p>
      <w:pPr>
        <w:pStyle w:val="FirstParagraph"/>
      </w:pPr>
      <w:r>
        <w:t xml:space="preserve">При необходимости боковую панель можно свернуть/развернуть.</w:t>
      </w:r>
    </w:p>
    <w:p>
      <w:pPr>
        <w:pStyle w:val="BodyText"/>
      </w:pPr>
      <w:r>
        <w:t xml:space="preserve">Разделы</w:t>
      </w:r>
      <w:r>
        <w:t xml:space="preserve"> </w:t>
      </w:r>
      <w:r>
        <w:rPr>
          <w:b/>
        </w:rPr>
        <w:t xml:space="preserve">Лиды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Сделки</w:t>
      </w:r>
      <w:r>
        <w:t xml:space="preserve"> </w:t>
      </w:r>
      <w:r>
        <w:t xml:space="preserve">представлены в виде одного из основных элементов продукта -</w:t>
      </w:r>
      <w:r>
        <w:t xml:space="preserve"> </w:t>
      </w:r>
      <w:r>
        <w:rPr>
          <w:b/>
        </w:rPr>
        <w:t xml:space="preserve">Канбан-доски</w:t>
      </w:r>
      <w:r>
        <w:t xml:space="preserve">. Канбан-доска позволяет наглядно представить элементы Customers в разбивке по статусам. Элементы доски содержат необходимую информацию - сумму, ФИО ответственного менеджера, ссылки на контакт и организацию.</w:t>
      </w:r>
    </w:p>
    <w:p>
      <w:pPr>
        <w:pStyle w:val="BodyText"/>
      </w:pPr>
      <w:r>
        <w:t xml:space="preserve">В заголовке столбца содержится информация о количестве элементов и сумма по столбцу.</w:t>
      </w:r>
    </w:p>
    <w:bookmarkStart w:id="24" w:name="guide.xhtml#id21"/>
    <w:p>
      <w:pPr>
        <w:pStyle w:val="Compact"/>
      </w:pPr>
      <w:r>
        <w:drawing>
          <wp:inline>
            <wp:extent cx="5334000" cy="3066026"/>
            <wp:effectExtent b="0" l="0" r="0" t="0"/>
            <wp:docPr descr="_images/Customers_3.5_-_deals_tst.png" title="" id="1" name="Picture"/>
            <a:graphic>
              <a:graphicData uri="http://schemas.openxmlformats.org/drawingml/2006/picture">
                <pic:pic>
                  <pic:nvPicPr>
                    <pic:cNvPr descr="_images/Customers_3.5_-_deals_t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60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</w:t>
      </w:r>
    </w:p>
    <w:bookmarkEnd w:id="24"/>
    <w:bookmarkEnd w:id="25"/>
    <w:bookmarkStart w:id="28" w:name="guide.xhtml#id2"/>
    <w:p>
      <w:pPr>
        <w:pStyle w:val="Heading2"/>
      </w:pPr>
      <w:r>
        <w:t xml:space="preserve">1.2. Фильтры реестра</w:t>
      </w:r>
    </w:p>
    <w:p>
      <w:pPr>
        <w:pStyle w:val="FirstParagraph"/>
      </w:pPr>
      <w:r>
        <w:t xml:space="preserve">При наличии в выбранном разделе доступных пользователю фильтров соответствующего реестра - выбор фильтров будет отображаться слева от поисковой строки.</w:t>
      </w:r>
    </w:p>
    <w:p>
      <w:pPr>
        <w:pStyle w:val="BodyText"/>
      </w:pPr>
      <w:r>
        <w:t xml:space="preserve">По умолчанию отображается верхний доступный фильтр.</w:t>
      </w:r>
    </w:p>
    <w:bookmarkStart w:id="27" w:name="guide.xhtml#id22"/>
    <w:p>
      <w:pPr>
        <w:pStyle w:val="Compact"/>
      </w:pPr>
      <w:r>
        <w:drawing>
          <wp:inline>
            <wp:extent cx="5334000" cy="3316295"/>
            <wp:effectExtent b="0" l="0" r="0" t="0"/>
            <wp:docPr descr="_images/3.1.regFilters.png" title="" id="1" name="Picture"/>
            <a:graphic>
              <a:graphicData uri="http://schemas.openxmlformats.org/drawingml/2006/picture">
                <pic:pic>
                  <pic:nvPicPr>
                    <pic:cNvPr descr="_images/3.1.reg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6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</w:t>
      </w:r>
    </w:p>
    <w:bookmarkEnd w:id="27"/>
    <w:bookmarkEnd w:id="28"/>
    <w:bookmarkStart w:id="31" w:name="guide.xhtml#id3"/>
    <w:p>
      <w:pPr>
        <w:pStyle w:val="Heading2"/>
      </w:pPr>
      <w:r>
        <w:t xml:space="preserve">1.3. Расширенный поиск</w:t>
      </w:r>
    </w:p>
    <w:p>
      <w:pPr>
        <w:pStyle w:val="FirstParagraph"/>
      </w:pPr>
      <w:r>
        <w:t xml:space="preserve">Расширенный поиск с выбором условий доступен по нажатию на пиктограмму справа от поисковой строки.</w:t>
      </w:r>
    </w:p>
    <w:p>
      <w:pPr>
        <w:pStyle w:val="BodyText"/>
      </w:pPr>
      <w:r>
        <w:t xml:space="preserve">На открывшейся панели есть возможность добавить/удалить условия фильтрации по тем полям формы (например, с кодом поля</w:t>
      </w:r>
      <w:r>
        <w:t xml:space="preserve"> </w:t>
      </w:r>
      <w:r>
        <w:rPr>
          <w:i/>
        </w:rPr>
        <w:t xml:space="preserve">field</w:t>
      </w:r>
      <w:r>
        <w:t xml:space="preserve">), для которых есть соотвествующее поле с типом неизменяемый текст и с кодом поля</w:t>
      </w:r>
      <w:r>
        <w:t xml:space="preserve"> </w:t>
      </w:r>
      <w:r>
        <w:rPr>
          <w:i/>
        </w:rPr>
        <w:t xml:space="preserve">fieldLabel</w:t>
      </w:r>
      <w:r>
        <w:t xml:space="preserve">.</w:t>
      </w:r>
    </w:p>
    <w:bookmarkStart w:id="30" w:name="guide.xhtml#id23"/>
    <w:p>
      <w:pPr>
        <w:pStyle w:val="Compact"/>
      </w:pPr>
      <w:r>
        <w:drawing>
          <wp:inline>
            <wp:extent cx="5334000" cy="2632073"/>
            <wp:effectExtent b="0" l="0" r="0" t="0"/>
            <wp:docPr descr="_images/3.1.extraFilters.png" title="" id="1" name="Picture"/>
            <a:graphic>
              <a:graphicData uri="http://schemas.openxmlformats.org/drawingml/2006/picture">
                <pic:pic>
                  <pic:nvPicPr>
                    <pic:cNvPr descr="_images/3.1.extra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2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3</w:t>
      </w:r>
    </w:p>
    <w:bookmarkEnd w:id="30"/>
    <w:bookmarkEnd w:id="31"/>
    <w:bookmarkStart w:id="40" w:name="guide.xhtml#id4"/>
    <w:p>
      <w:pPr>
        <w:pStyle w:val="Heading2"/>
      </w:pPr>
      <w:r>
        <w:t xml:space="preserve">1.4. Сохраняемые фильтры</w:t>
      </w:r>
    </w:p>
    <w:p>
      <w:pPr>
        <w:pStyle w:val="FirstParagraph"/>
      </w:pPr>
      <w:r>
        <w:t xml:space="preserve">На панели расширенного поиска доступно создание, сохранение, удаление фильтров по заданным пользователем условиям.</w:t>
      </w:r>
    </w:p>
    <w:p>
      <w:pPr>
        <w:numPr>
          <w:numId w:val="1006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создания</w:t>
      </w:r>
      <w:r>
        <w:t xml:space="preserve"> </w:t>
      </w:r>
      <w:r>
        <w:t xml:space="preserve">фильтра нужно выбрать условия, задать название фильтра и нажать пиктограмму сохранения</w:t>
      </w:r>
    </w:p>
    <w:bookmarkStart w:id="33" w:name="guide.xhtml#id24"/>
    <w:p>
      <w:pPr>
        <w:pStyle w:val="Compact"/>
      </w:pPr>
      <w:r>
        <w:drawing>
          <wp:inline>
            <wp:extent cx="5334000" cy="3514825"/>
            <wp:effectExtent b="0" l="0" r="0" t="0"/>
            <wp:docPr descr="_images/filter_cr_save.png" title="" id="1" name="Picture"/>
            <a:graphic>
              <a:graphicData uri="http://schemas.openxmlformats.org/drawingml/2006/picture">
                <pic:pic>
                  <pic:nvPicPr>
                    <pic:cNvPr descr="_images/filter_cr_sa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4 Создание и редактирование фильтра</w:t>
      </w:r>
    </w:p>
    <w:bookmarkEnd w:id="33"/>
    <w:p>
      <w:pPr>
        <w:numPr>
          <w:numId w:val="1007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редактирования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доступных, добавить/удалить нужные условия и нажать пиктограмму сохранения</w:t>
      </w:r>
    </w:p>
    <w:bookmarkStart w:id="35" w:name="guide.xhtml#id25"/>
    <w:p>
      <w:pPr>
        <w:pStyle w:val="Compact"/>
      </w:pPr>
      <w:r>
        <w:drawing>
          <wp:inline>
            <wp:extent cx="5334000" cy="3523582"/>
            <wp:effectExtent b="0" l="0" r="0" t="0"/>
            <wp:docPr descr="_images/saved.png" title="" id="1" name="Picture"/>
            <a:graphic>
              <a:graphicData uri="http://schemas.openxmlformats.org/drawingml/2006/picture">
                <pic:pic>
                  <pic:nvPicPr>
                    <pic:cNvPr descr="_images/sav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3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5 Выбор/поиск по сохраненным фильтрам</w:t>
      </w:r>
    </w:p>
    <w:bookmarkEnd w:id="35"/>
    <w:p>
      <w:pPr>
        <w:numPr>
          <w:numId w:val="1008"/>
          <w:ilvl w:val="0"/>
        </w:numPr>
      </w:pPr>
      <w:r>
        <w:t xml:space="preserve">Для того, чтобы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фильтр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- откроется модальное окно, в котором нужно выбрать пользователя и нажать</w:t>
      </w:r>
      <w:r>
        <w:t xml:space="preserve"> </w:t>
      </w:r>
      <w:r>
        <w:rPr>
          <w:b/>
        </w:rPr>
        <w:t xml:space="preserve">Выбрать</w:t>
      </w:r>
      <w:r>
        <w:t xml:space="preserve">.</w:t>
      </w:r>
    </w:p>
    <w:bookmarkStart w:id="37" w:name="guide.xhtml#id26"/>
    <w:p>
      <w:pPr>
        <w:pStyle w:val="Compact"/>
      </w:pPr>
      <w:r>
        <w:drawing>
          <wp:inline>
            <wp:extent cx="5334000" cy="3356586"/>
            <wp:effectExtent b="0" l="0" r="0" t="0"/>
            <wp:docPr descr="_images/share.png" title="" id="1" name="Picture"/>
            <a:graphic>
              <a:graphicData uri="http://schemas.openxmlformats.org/drawingml/2006/picture">
                <pic:pic>
                  <pic:nvPicPr>
                    <pic:cNvPr descr="_images/sh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6 Передача фильтра</w:t>
      </w:r>
    </w:p>
    <w:bookmarkEnd w:id="37"/>
    <w:p>
      <w:pPr>
        <w:numPr>
          <w:numId w:val="1009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удаления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 удаления - корзину.</w:t>
      </w:r>
    </w:p>
    <w:bookmarkStart w:id="39" w:name="guide.xhtml#id27"/>
    <w:p>
      <w:pPr>
        <w:pStyle w:val="Compact"/>
      </w:pPr>
      <w:r>
        <w:drawing>
          <wp:inline>
            <wp:extent cx="5334000" cy="3686324"/>
            <wp:effectExtent b="0" l="0" r="0" t="0"/>
            <wp:docPr descr="_images/deleting.png" title="" id="1" name="Picture"/>
            <a:graphic>
              <a:graphicData uri="http://schemas.openxmlformats.org/drawingml/2006/picture">
                <pic:pic>
                  <pic:nvPicPr>
                    <pic:cNvPr descr="_images/dele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7 Удаление фильтра</w:t>
      </w:r>
    </w:p>
    <w:bookmarkEnd w:id="39"/>
    <w:bookmarkEnd w:id="40"/>
    <w:bookmarkStart w:id="43" w:name="guide.xhtml#id5"/>
    <w:p>
      <w:pPr>
        <w:pStyle w:val="Heading2"/>
      </w:pPr>
      <w:r>
        <w:t xml:space="preserve">1.5. Создание плана продаж</w:t>
      </w:r>
    </w:p>
    <w:p>
      <w:pPr>
        <w:pStyle w:val="FirstParagraph"/>
      </w:pPr>
      <w:r>
        <w:t xml:space="preserve">Создание плана продаж происходит в разделе «План продаж»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.</w:t>
      </w:r>
    </w:p>
    <w:p>
      <w:pPr>
        <w:pStyle w:val="BodyText"/>
      </w:pPr>
      <w:r>
        <w:t xml:space="preserve">План продаж может быть двух типов: план продаж подразделения и персональный план продаж менеджера. По умолчанию отображается план продаж для подразделения. При переключении на персональный план продаж для менеджера, некоторые поля формы скрываются.</w:t>
      </w:r>
    </w:p>
    <w:bookmarkStart w:id="42" w:name="guide.xhtml#id28"/>
    <w:p>
      <w:pPr>
        <w:pStyle w:val="Compact"/>
      </w:pPr>
      <w:r>
        <w:drawing>
          <wp:inline>
            <wp:extent cx="5334000" cy="2176405"/>
            <wp:effectExtent b="0" l="0" r="0" t="0"/>
            <wp:docPr descr="_images/managers_plan.png" title="" id="1" name="Picture"/>
            <a:graphic>
              <a:graphicData uri="http://schemas.openxmlformats.org/drawingml/2006/picture">
                <pic:pic>
                  <pic:nvPicPr>
                    <pic:cNvPr descr="_images/managers_pla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764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План продаж менеджера</w:t>
      </w:r>
    </w:p>
    <w:bookmarkEnd w:id="42"/>
    <w:bookmarkEnd w:id="43"/>
    <w:bookmarkStart w:id="48" w:name="guide.xhtml#id6"/>
    <w:p>
      <w:pPr>
        <w:pStyle w:val="Heading2"/>
      </w:pPr>
      <w:r>
        <w:t xml:space="preserve">1.6. Распределение сумм плана продаж по менеджерам</w:t>
      </w:r>
    </w:p>
    <w:p>
      <w:pPr>
        <w:pStyle w:val="FirstParagraph"/>
      </w:pPr>
      <w:r>
        <w:t xml:space="preserve">Целевые суммы по месяцам из плана продаж могут быть распределены по менеджерам (из поля «Менеджеры по продажам»). Для этого необходимо нажать кнопку</w:t>
      </w:r>
      <w:r>
        <w:t xml:space="preserve"> </w:t>
      </w:r>
      <w:r>
        <w:rPr>
          <w:rStyle w:val="VerbatimChar"/>
        </w:rPr>
        <w:t xml:space="preserve">Распределить</w:t>
      </w:r>
      <w:r>
        <w:t xml:space="preserve">.</w:t>
      </w:r>
    </w:p>
    <w:p>
      <w:pPr>
        <w:pStyle w:val="BodyText"/>
      </w:pPr>
      <w:r>
        <w:t xml:space="preserve">Целевые суммы за каждый месяц будут распределены на всех выбранных менеджеров по соответствующим столбцам месяцев в динамической таблице.</w:t>
      </w:r>
    </w:p>
    <w:p>
      <w:pPr>
        <w:pStyle w:val="BodyText"/>
      </w:pPr>
      <w:r>
        <w:t xml:space="preserve">При необходимости, суммы в динамической таблице можно откорректировать вручную. Для удобства ведется подсчет распределенных и нераспределенных сумм по месяцам и за год.</w:t>
      </w:r>
    </w:p>
    <w:bookmarkStart w:id="45" w:name="guide.xhtml#id29"/>
    <w:p>
      <w:pPr>
        <w:pStyle w:val="Compact"/>
      </w:pPr>
      <w:r>
        <w:drawing>
          <wp:inline>
            <wp:extent cx="5334000" cy="2378075"/>
            <wp:effectExtent b="0" l="0" r="0" t="0"/>
            <wp:docPr descr="_images/dep_plan1.png" title="" id="1" name="Picture"/>
            <a:graphic>
              <a:graphicData uri="http://schemas.openxmlformats.org/drawingml/2006/picture">
                <pic:pic>
                  <pic:nvPicPr>
                    <pic:cNvPr descr="_images/dep_plan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Кнопка Распределить</w:t>
      </w:r>
    </w:p>
    <w:bookmarkEnd w:id="45"/>
    <w:bookmarkStart w:id="47" w:name="guide.xhtml#id30"/>
    <w:p>
      <w:pPr>
        <w:pStyle w:val="Compact"/>
      </w:pPr>
      <w:r>
        <w:drawing>
          <wp:inline>
            <wp:extent cx="5334000" cy="1608534"/>
            <wp:effectExtent b="0" l="0" r="0" t="0"/>
            <wp:docPr descr="_images/dep_plan2.png" title="" id="1" name="Picture"/>
            <a:graphic>
              <a:graphicData uri="http://schemas.openxmlformats.org/drawingml/2006/picture">
                <pic:pic>
                  <pic:nvPicPr>
                    <pic:cNvPr descr="_images/dep_plan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8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Распределенные суммы по менеджерам</w:t>
      </w:r>
    </w:p>
    <w:bookmarkEnd w:id="47"/>
    <w:bookmarkEnd w:id="48"/>
    <w:bookmarkStart w:id="49" w:name="guide.xhtml#id7"/>
    <w:p>
      <w:pPr>
        <w:pStyle w:val="Heading2"/>
      </w:pPr>
      <w:r>
        <w:t xml:space="preserve">1.7. Автоматическое создание персональных планов</w:t>
      </w:r>
    </w:p>
    <w:p>
      <w:pPr>
        <w:pStyle w:val="FirstParagraph"/>
      </w:pPr>
      <w:r>
        <w:t xml:space="preserve">В маршруте активации плана продаж есть блокирующий процесс (БП) для планов по подразделениям: БП создает персональные планы по выбранным сотрудникам (менеджерам) подразделения и записывает в них плановые суммы.</w:t>
      </w:r>
      <w:r>
        <w:t xml:space="preserve"> </w:t>
      </w:r>
      <w:r>
        <w:t xml:space="preserve">Если персональный план с такими параметрами (год, услуга, подразделение, менеджер) уже существует, то данные будут записаны в сущестующий план.</w:t>
      </w:r>
      <w:r>
        <w:t xml:space="preserve"> </w:t>
      </w:r>
      <w:r>
        <w:t xml:space="preserve">Таким образом, можно создавать планы продаж подразделения по отдельным кварталам, и после активации такого плана, данные будут корректно записаны в персональные планы менеджеров.</w:t>
      </w:r>
    </w:p>
    <w:bookmarkEnd w:id="49"/>
    <w:bookmarkStart w:id="50" w:name="guide.xhtml#id8"/>
    <w:p>
      <w:pPr>
        <w:pStyle w:val="Heading2"/>
      </w:pPr>
      <w:r>
        <w:t xml:space="preserve">1.8. Создание контакта</w:t>
      </w:r>
    </w:p>
    <w:p>
      <w:pPr>
        <w:pStyle w:val="FirstParagraph"/>
      </w:pPr>
      <w:r>
        <w:t xml:space="preserve">Создать новую карточку контакта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0"/>
          <w:ilvl w:val="0"/>
        </w:numPr>
      </w:pPr>
      <w:r>
        <w:t xml:space="preserve">из раздела «Контакты»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0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numPr>
          <w:numId w:val="1010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pStyle w:val="FirstParagraph"/>
      </w:pPr>
      <w:r>
        <w:t xml:space="preserve">Система отобразит список совпадений по ФИО и/или ИИН контакта, при</w:t>
      </w:r>
      <w:r>
        <w:t xml:space="preserve"> </w:t>
      </w:r>
      <w:r>
        <w:t xml:space="preserve">наличии. Наличие совпадений не ограничивает создание карточки.</w:t>
      </w:r>
    </w:p>
    <w:bookmarkEnd w:id="50"/>
    <w:bookmarkStart w:id="51" w:name="guide.xhtml#id9"/>
    <w:p>
      <w:pPr>
        <w:pStyle w:val="Heading2"/>
      </w:pPr>
      <w:r>
        <w:t xml:space="preserve">1.9. Создание организации</w:t>
      </w:r>
    </w:p>
    <w:p>
      <w:pPr>
        <w:pStyle w:val="FirstParagraph"/>
      </w:pPr>
      <w:r>
        <w:t xml:space="preserve">Создать новую карточку организации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1"/>
          <w:ilvl w:val="0"/>
        </w:numPr>
      </w:pPr>
      <w:r>
        <w:t xml:space="preserve">из раздела «Организации»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1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«Организация»;</w:t>
      </w:r>
    </w:p>
    <w:p>
      <w:pPr>
        <w:numPr>
          <w:numId w:val="1011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numPr>
          <w:numId w:val="1011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pStyle w:val="FirstParagraph"/>
      </w:pPr>
      <w:r>
        <w:t xml:space="preserve">Система отобразит список совпадений по наименованию и/или БИН организации,</w:t>
      </w:r>
      <w:r>
        <w:t xml:space="preserve"> </w:t>
      </w:r>
      <w:r>
        <w:t xml:space="preserve">при наличии. Наличие совпадений не ограничивает создание карточки.</w:t>
      </w:r>
    </w:p>
    <w:bookmarkEnd w:id="51"/>
    <w:bookmarkStart w:id="54" w:name="guide.xhtml#id10"/>
    <w:p>
      <w:pPr>
        <w:pStyle w:val="Heading2"/>
      </w:pPr>
      <w:r>
        <w:t xml:space="preserve">1.10. Создание лида</w:t>
      </w:r>
    </w:p>
    <w:p>
      <w:pPr>
        <w:pStyle w:val="FirstParagraph"/>
      </w:pPr>
      <w:r>
        <w:t xml:space="preserve">Создать карточку лида можно в разделе Лид,</w:t>
      </w:r>
      <w:r>
        <w:t xml:space="preserve"> </w:t>
      </w:r>
      <w:r>
        <w:t xml:space="preserve">нажав на кнопку</w:t>
      </w:r>
      <w:r>
        <w:t xml:space="preserve"> </w:t>
      </w:r>
      <w:r>
        <w:rPr>
          <w:rStyle w:val="VerbatimChar"/>
        </w:rPr>
        <w:t xml:space="preserve">+ Создать</w:t>
      </w:r>
    </w:p>
    <w:bookmarkStart w:id="53" w:name="guide.xhtml#id31"/>
    <w:p>
      <w:pPr>
        <w:pStyle w:val="Compact"/>
      </w:pPr>
      <w:r>
        <w:drawing>
          <wp:inline>
            <wp:extent cx="5334000" cy="2906431"/>
            <wp:effectExtent b="0" l="0" r="0" t="0"/>
            <wp:docPr descr="_images/Customers_3.0_-_leads.png" title="" id="1" name="Picture"/>
            <a:graphic>
              <a:graphicData uri="http://schemas.openxmlformats.org/drawingml/2006/picture">
                <pic:pic>
                  <pic:nvPicPr>
                    <pic:cNvPr descr="_images/Customers_3.0_-_lead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64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8</w:t>
      </w:r>
    </w:p>
    <w:bookmarkEnd w:id="53"/>
    <w:bookmarkEnd w:id="54"/>
    <w:bookmarkStart w:id="57" w:name="guide.xhtml#id11"/>
    <w:p>
      <w:pPr>
        <w:pStyle w:val="Heading2"/>
      </w:pPr>
      <w:r>
        <w:t xml:space="preserve">1.11. Конвертация лида в сделку</w:t>
      </w:r>
    </w:p>
    <w:p>
      <w:pPr>
        <w:pStyle w:val="FirstParagraph"/>
      </w:pPr>
      <w:r>
        <w:t xml:space="preserve">При смене стадии лида в конечную положительную стадию («В сделку») происходит создание записи сделки с копированием полей:</w:t>
      </w:r>
    </w:p>
    <w:p>
      <w:pPr>
        <w:numPr>
          <w:numId w:val="1012"/>
          <w:ilvl w:val="0"/>
        </w:numPr>
      </w:pPr>
      <w:r>
        <w:t xml:space="preserve">ссылка на лид;</w:t>
      </w:r>
    </w:p>
    <w:p>
      <w:pPr>
        <w:numPr>
          <w:numId w:val="1012"/>
          <w:ilvl w:val="0"/>
        </w:numPr>
      </w:pPr>
      <w:r>
        <w:t xml:space="preserve">БИН;</w:t>
      </w:r>
    </w:p>
    <w:p>
      <w:pPr>
        <w:numPr>
          <w:numId w:val="1012"/>
          <w:ilvl w:val="0"/>
        </w:numPr>
      </w:pPr>
      <w:r>
        <w:t xml:space="preserve">контакт;</w:t>
      </w:r>
    </w:p>
    <w:p>
      <w:pPr>
        <w:numPr>
          <w:numId w:val="1012"/>
          <w:ilvl w:val="0"/>
        </w:numPr>
      </w:pPr>
      <w:r>
        <w:t xml:space="preserve">тема сотрудиничества;</w:t>
      </w:r>
    </w:p>
    <w:p>
      <w:pPr>
        <w:numPr>
          <w:numId w:val="1012"/>
          <w:ilvl w:val="0"/>
        </w:numPr>
      </w:pPr>
      <w:r>
        <w:t xml:space="preserve">бюджет.</w:t>
      </w:r>
    </w:p>
    <w:p>
      <w:pPr>
        <w:pStyle w:val="FirstParagraph"/>
      </w:pPr>
      <w:r>
        <w:t xml:space="preserve">Если в канбане лидов попытаться перетащить лид из конечной стадии (например, из стадии «В сделку» или «Некачественный лид»), то потребуется подтвердить действие.</w:t>
      </w:r>
    </w:p>
    <w:bookmarkStart w:id="56" w:name="guide.xhtml#id32"/>
    <w:p>
      <w:pPr>
        <w:pStyle w:val="Compact"/>
      </w:pPr>
      <w:r>
        <w:drawing>
          <wp:inline>
            <wp:extent cx="5334000" cy="2832623"/>
            <wp:effectExtent b="0" l="0" r="0" t="0"/>
            <wp:docPr descr="_images/lead-deal-converting.png" title="" id="1" name="Picture"/>
            <a:graphic>
              <a:graphicData uri="http://schemas.openxmlformats.org/drawingml/2006/picture">
                <pic:pic>
                  <pic:nvPicPr>
                    <pic:cNvPr descr="_images/lead-deal-conver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2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9</w:t>
      </w:r>
    </w:p>
    <w:bookmarkEnd w:id="56"/>
    <w:bookmarkEnd w:id="57"/>
    <w:bookmarkStart w:id="58" w:name="guide.xhtml#id12"/>
    <w:p>
      <w:pPr>
        <w:pStyle w:val="Heading2"/>
      </w:pPr>
      <w:r>
        <w:t xml:space="preserve">1.12. Создание сделки</w:t>
      </w:r>
    </w:p>
    <w:p>
      <w:pPr>
        <w:pStyle w:val="FirstParagraph"/>
      </w:pPr>
      <w:r>
        <w:t xml:space="preserve">Создать новую карточку сделки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3"/>
          <w:ilvl w:val="0"/>
        </w:numPr>
      </w:pPr>
      <w:r>
        <w:t xml:space="preserve">из раздела «Сделки»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3"/>
          <w:ilvl w:val="0"/>
        </w:numPr>
      </w:pPr>
      <w:r>
        <w:t xml:space="preserve">из действующей карточки Организации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данной организации;</w:t>
      </w:r>
    </w:p>
    <w:p>
      <w:pPr>
        <w:numPr>
          <w:numId w:val="1013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данного контакта и</w:t>
      </w:r>
      <w:r>
        <w:t xml:space="preserve"> </w:t>
      </w:r>
      <w:r>
        <w:t xml:space="preserve">связанной с ним Организации.</w:t>
      </w:r>
    </w:p>
    <w:bookmarkEnd w:id="58"/>
    <w:bookmarkStart w:id="59" w:name="guide.xhtml#id13"/>
    <w:p>
      <w:pPr>
        <w:pStyle w:val="Heading2"/>
      </w:pPr>
      <w:r>
        <w:t xml:space="preserve">1.13. Смена стадии сделки</w:t>
      </w:r>
    </w:p>
    <w:p>
      <w:pPr>
        <w:pStyle w:val="FirstParagraph"/>
      </w:pPr>
      <w:r>
        <w:t xml:space="preserve">Сменить стадию сделки в Synergy Customers можно несколькими способами:</w:t>
      </w:r>
    </w:p>
    <w:p>
      <w:pPr>
        <w:numPr>
          <w:numId w:val="1014"/>
          <w:ilvl w:val="0"/>
        </w:numPr>
      </w:pPr>
      <w:r>
        <w:t xml:space="preserve">из карточки Сделки, выбрав нужную стадию в поле «Стадия»;</w:t>
      </w:r>
    </w:p>
    <w:p>
      <w:pPr>
        <w:numPr>
          <w:numId w:val="1014"/>
          <w:ilvl w:val="0"/>
        </w:numPr>
      </w:pPr>
      <w:r>
        <w:t xml:space="preserve">в разделе Сделки перемещением плашки Сделки из стадии А в стадию Б;</w:t>
      </w:r>
    </w:p>
    <w:bookmarkEnd w:id="59"/>
    <w:bookmarkStart w:id="62" w:name="guide.xhtml#id14"/>
    <w:p>
      <w:pPr>
        <w:pStyle w:val="Heading2"/>
      </w:pPr>
      <w:r>
        <w:t xml:space="preserve">1.14. Конвертация сделки в договор</w:t>
      </w:r>
    </w:p>
    <w:p>
      <w:pPr>
        <w:pStyle w:val="FirstParagraph"/>
      </w:pPr>
      <w:r>
        <w:t xml:space="preserve">При смене стадии сделки в конечную положительную стадию («В договор») происходит создание записи договора с копированием полей:</w:t>
      </w:r>
    </w:p>
    <w:p>
      <w:pPr>
        <w:numPr>
          <w:numId w:val="1015"/>
          <w:ilvl w:val="0"/>
        </w:numPr>
      </w:pPr>
      <w:r>
        <w:t xml:space="preserve">ссылка на сделку;</w:t>
      </w:r>
    </w:p>
    <w:p>
      <w:pPr>
        <w:numPr>
          <w:numId w:val="1015"/>
          <w:ilvl w:val="0"/>
        </w:numPr>
      </w:pPr>
      <w:r>
        <w:t xml:space="preserve">БИН;</w:t>
      </w:r>
    </w:p>
    <w:p>
      <w:pPr>
        <w:numPr>
          <w:numId w:val="1015"/>
          <w:ilvl w:val="0"/>
        </w:numPr>
      </w:pPr>
      <w:r>
        <w:t xml:space="preserve">тема сотрудиничества;</w:t>
      </w:r>
    </w:p>
    <w:p>
      <w:pPr>
        <w:numPr>
          <w:numId w:val="1015"/>
          <w:ilvl w:val="0"/>
        </w:numPr>
      </w:pPr>
      <w:r>
        <w:t xml:space="preserve">бюджет.</w:t>
      </w:r>
    </w:p>
    <w:p>
      <w:pPr>
        <w:pStyle w:val="FirstParagraph"/>
      </w:pPr>
      <w:r>
        <w:t xml:space="preserve">Если в канбане сделок попытаться перетащить сделку из конечной стадии (например, из стадии «В договор» или «Отказ»), то потребуется подтвердить действие.</w:t>
      </w:r>
    </w:p>
    <w:bookmarkStart w:id="61" w:name="guide.xhtml#id33"/>
    <w:p>
      <w:pPr>
        <w:pStyle w:val="Compact"/>
      </w:pPr>
      <w:r>
        <w:drawing>
          <wp:inline>
            <wp:extent cx="5334000" cy="2600325"/>
            <wp:effectExtent b="0" l="0" r="0" t="0"/>
            <wp:docPr descr="_images/deal-contract.png" title="" id="1" name="Picture"/>
            <a:graphic>
              <a:graphicData uri="http://schemas.openxmlformats.org/drawingml/2006/picture">
                <pic:pic>
                  <pic:nvPicPr>
                    <pic:cNvPr descr="_images/deal-contrac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10</w:t>
      </w:r>
    </w:p>
    <w:bookmarkEnd w:id="61"/>
    <w:bookmarkEnd w:id="62"/>
    <w:bookmarkStart w:id="67" w:name="guide.xhtml#id15"/>
    <w:p>
      <w:pPr>
        <w:pStyle w:val="Heading2"/>
      </w:pPr>
      <w:r>
        <w:t xml:space="preserve">1.15. Массовые действия: назначение менеджера и удаление записи</w:t>
      </w:r>
    </w:p>
    <w:p>
      <w:pPr>
        <w:pStyle w:val="FirstParagraph"/>
      </w:pPr>
      <w:r>
        <w:t xml:space="preserve">В разделах Контакты, Организации, Сделки и Лиды доступны массовые действия с выделенными записями: назначение ответственного менеджера и удаление записи.</w:t>
      </w:r>
    </w:p>
    <w:p>
      <w:pPr>
        <w:pStyle w:val="BodyText"/>
      </w:pPr>
      <w:r>
        <w:t xml:space="preserve">Для массового действия необходимо галочкой отметить нужные записи, нажать на меню</w:t>
      </w:r>
      <w:r>
        <w:t xml:space="preserve"> </w:t>
      </w:r>
      <w:r>
        <w:rPr>
          <w:rStyle w:val="VerbatimChar"/>
        </w:rPr>
        <w:t xml:space="preserve">Действия</w:t>
      </w:r>
      <w:r>
        <w:t xml:space="preserve"> </w:t>
      </w:r>
      <w:r>
        <w:t xml:space="preserve">и выбрать</w:t>
      </w:r>
      <w:r>
        <w:t xml:space="preserve"> </w:t>
      </w:r>
      <w:r>
        <w:rPr>
          <w:rStyle w:val="VerbatimChar"/>
        </w:rPr>
        <w:t xml:space="preserve">Назначить</w:t>
      </w:r>
      <w:r>
        <w:t xml:space="preserve"> </w:t>
      </w:r>
      <w:r>
        <w:t xml:space="preserve">- для выбора ответственного менеджера, или</w:t>
      </w:r>
      <w:r>
        <w:t xml:space="preserve"> </w:t>
      </w:r>
      <w:r>
        <w:rPr>
          <w:rStyle w:val="VerbatimChar"/>
        </w:rPr>
        <w:t xml:space="preserve">Удалить</w:t>
      </w:r>
      <w:r>
        <w:t xml:space="preserve"> </w:t>
      </w:r>
      <w:r>
        <w:t xml:space="preserve">- для удаления выделенных записей.</w:t>
      </w:r>
    </w:p>
    <w:bookmarkStart w:id="64" w:name="guide.xhtml#id34"/>
    <w:p>
      <w:pPr>
        <w:pStyle w:val="Compact"/>
      </w:pPr>
      <w:r>
        <w:drawing>
          <wp:inline>
            <wp:extent cx="5334000" cy="1944687"/>
            <wp:effectExtent b="0" l="0" r="0" t="0"/>
            <wp:docPr descr="_images/appoint_del.png" title="" id="1" name="Picture"/>
            <a:graphic>
              <a:graphicData uri="http://schemas.openxmlformats.org/drawingml/2006/picture">
                <pic:pic>
                  <pic:nvPicPr>
                    <pic:cNvPr descr="_images/appoint_d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44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11 массовое действие в списочном разделе</w:t>
      </w:r>
    </w:p>
    <w:bookmarkEnd w:id="64"/>
    <w:bookmarkStart w:id="66" w:name="guide.xhtml#id35"/>
    <w:p>
      <w:pPr>
        <w:pStyle w:val="Compact"/>
      </w:pPr>
      <w:r>
        <w:drawing>
          <wp:inline>
            <wp:extent cx="5334000" cy="2187080"/>
            <wp:effectExtent b="0" l="0" r="0" t="0"/>
            <wp:docPr descr="_images/appoint_del_kanban.png" title="" id="1" name="Picture"/>
            <a:graphic>
              <a:graphicData uri="http://schemas.openxmlformats.org/drawingml/2006/picture">
                <pic:pic>
                  <pic:nvPicPr>
                    <pic:cNvPr descr="_images/appoint_del_kanba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12 массовое действие в канбан-разделе</w:t>
      </w:r>
    </w:p>
    <w:bookmarkEnd w:id="66"/>
    <w:bookmarkEnd w:id="67"/>
    <w:bookmarkStart w:id="70" w:name="guide.xhtml#id16"/>
    <w:p>
      <w:pPr>
        <w:pStyle w:val="Heading2"/>
      </w:pPr>
      <w:r>
        <w:t xml:space="preserve">1.16. Выгрузка</w:t>
      </w:r>
    </w:p>
    <w:p>
      <w:pPr>
        <w:pStyle w:val="FirstParagraph"/>
      </w:pPr>
      <w:r>
        <w:t xml:space="preserve">Выгрузка данных доступна в разделах списках: Контакты, Организации, Договоры, Активности. Для того, чтобы выгрузить данные всего раздела или отфильтрованную выборку, нужно нажать кнопку</w:t>
      </w:r>
      <w:r>
        <w:t xml:space="preserve"> </w:t>
      </w:r>
      <w:r>
        <w:rPr>
          <w:b/>
        </w:rPr>
        <w:t xml:space="preserve">Выгрузить</w:t>
      </w:r>
      <w:r>
        <w:t xml:space="preserve"> </w:t>
      </w:r>
      <w:r>
        <w:t xml:space="preserve">на верхней панели и подтвердить нажатием «Да» в модальном окне.</w:t>
      </w:r>
    </w:p>
    <w:bookmarkStart w:id="69" w:name="guide.xhtml#id36"/>
    <w:p>
      <w:pPr>
        <w:pStyle w:val="Compact"/>
      </w:pPr>
      <w:r>
        <w:drawing>
          <wp:inline>
            <wp:extent cx="5334000" cy="2515377"/>
            <wp:effectExtent b="0" l="0" r="0" t="0"/>
            <wp:docPr descr="_images/exporting3.4.1.png" title="" id="1" name="Picture"/>
            <a:graphic>
              <a:graphicData uri="http://schemas.openxmlformats.org/drawingml/2006/picture">
                <pic:pic>
                  <pic:nvPicPr>
                    <pic:cNvPr descr="_images/exporting3.4.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5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13 выгрузка</w:t>
      </w:r>
    </w:p>
    <w:bookmarkEnd w:id="69"/>
    <w:bookmarkEnd w:id="70"/>
    <w:bookmarkStart w:id="75" w:name="guide.xhtml#id17"/>
    <w:p>
      <w:pPr>
        <w:pStyle w:val="Heading2"/>
      </w:pPr>
      <w:r>
        <w:t xml:space="preserve">1.17. Справочники</w:t>
      </w:r>
    </w:p>
    <w:p>
      <w:pPr>
        <w:pStyle w:val="FirstParagraph"/>
      </w:pPr>
      <w:r>
        <w:t xml:space="preserve">В разделе (доступ ограничен по группе пользователей) есть возможность добавлять/удалять и редактировать записи справочных реестров.</w:t>
      </w:r>
    </w:p>
    <w:bookmarkStart w:id="72" w:name="guide.xhtml#id37"/>
    <w:p>
      <w:pPr>
        <w:pStyle w:val="Compact"/>
      </w:pPr>
      <w:r>
        <w:drawing>
          <wp:inline>
            <wp:extent cx="5334000" cy="2630884"/>
            <wp:effectExtent b="0" l="0" r="0" t="0"/>
            <wp:docPr descr="_images/main-3.2.png" title="" id="1" name="Picture"/>
            <a:graphic>
              <a:graphicData uri="http://schemas.openxmlformats.org/drawingml/2006/picture">
                <pic:pic>
                  <pic:nvPicPr>
                    <pic:cNvPr descr="_images/main-3.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0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14</w:t>
      </w:r>
    </w:p>
    <w:bookmarkEnd w:id="72"/>
    <w:p>
      <w:pPr>
        <w:pStyle w:val="BodyText"/>
      </w:pPr>
      <w:r>
        <w:t xml:space="preserve">При переходе в раздел на левой панели отображены справочники, а в основной области - их записи. По клику правой кнопкой на записи открывается контекстное меню с возможностью открытия, просмотра информации и удаления записи (при наличии прав).</w:t>
      </w:r>
    </w:p>
    <w:p>
      <w:pPr>
        <w:pStyle w:val="BodyText"/>
      </w:pPr>
      <w:r>
        <w:t xml:space="preserve">На верхней панели расположены кнопки</w:t>
      </w:r>
      <w:r>
        <w:t xml:space="preserve"> </w:t>
      </w:r>
      <w:r>
        <w:rPr>
          <w:b/>
        </w:rPr>
        <w:t xml:space="preserve">Назад</w:t>
      </w:r>
      <w:r>
        <w:t xml:space="preserve"> </w:t>
      </w:r>
      <w:r>
        <w:t xml:space="preserve">- возврат на главную страницу,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- создание записи в выбранном справочнике и</w:t>
      </w:r>
      <w:r>
        <w:t xml:space="preserve"> </w:t>
      </w:r>
      <w:r>
        <w:rPr>
          <w:b/>
        </w:rPr>
        <w:t xml:space="preserve">Обновить</w:t>
      </w:r>
      <w:r>
        <w:t xml:space="preserve"> </w:t>
      </w:r>
      <w:r>
        <w:t xml:space="preserve">- обновление данных.</w:t>
      </w:r>
    </w:p>
    <w:p>
      <w:pPr>
        <w:pStyle w:val="BodyText"/>
      </w:pPr>
      <w:r>
        <w:t xml:space="preserve">По клику запись открывается для просмотра - с возможностью перейти в режим редактирования и сохранить данные.</w:t>
      </w:r>
    </w:p>
    <w:bookmarkStart w:id="74" w:name="guide.xhtml#id38"/>
    <w:p>
      <w:pPr>
        <w:pStyle w:val="Compact"/>
      </w:pPr>
      <w:r>
        <w:drawing>
          <wp:inline>
            <wp:extent cx="5334000" cy="2619771"/>
            <wp:effectExtent b="0" l="0" r="0" t="0"/>
            <wp:docPr descr="_images/dicts-regs.png" title="" id="1" name="Picture"/>
            <a:graphic>
              <a:graphicData uri="http://schemas.openxmlformats.org/drawingml/2006/picture">
                <pic:pic>
                  <pic:nvPicPr>
                    <pic:cNvPr descr="_images/dicts-re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15 Раздел Справочники</w:t>
      </w:r>
    </w:p>
    <w:bookmarkEnd w:id="74"/>
    <w:bookmarkEnd w:id="75"/>
    <w:bookmarkStart w:id="82" w:name="guide.xhtml#id18"/>
    <w:p>
      <w:pPr>
        <w:pStyle w:val="Heading2"/>
      </w:pPr>
      <w:r>
        <w:t xml:space="preserve">1.18. Календарь</w:t>
      </w:r>
    </w:p>
    <w:p>
      <w:pPr>
        <w:pStyle w:val="FirstParagraph"/>
      </w:pPr>
      <w:r>
        <w:rPr>
          <w:b/>
        </w:rPr>
        <w:t xml:space="preserve">Календарь</w:t>
      </w:r>
      <w:r>
        <w:t xml:space="preserve"> </w:t>
      </w:r>
      <w:r>
        <w:t xml:space="preserve">в Customers - это специальный раздел для планирования оперативных дел и поручений.</w:t>
      </w:r>
    </w:p>
    <w:p>
      <w:pPr>
        <w:pStyle w:val="BodyText"/>
      </w:pPr>
      <w:r>
        <w:t xml:space="preserve">Раздел</w:t>
      </w:r>
      <w:r>
        <w:t xml:space="preserve"> </w:t>
      </w:r>
      <w:r>
        <w:rPr>
          <w:b/>
        </w:rPr>
        <w:t xml:space="preserve">Календарь</w:t>
      </w:r>
      <w:r>
        <w:t xml:space="preserve"> </w:t>
      </w:r>
      <w:r>
        <w:t xml:space="preserve">состоит из верхней панели, основной области и правой панели. На верхней панели отображается выбранный период, расположены кнопки переключения режима календаря (день, неделя, месяц) и кнопки навигации назад и вперед в выбранном режиме. В основной области отображаются задачи в зависимости от выбранного режима. На правой панели расположен виджет выбора даты и задачи за выбранный период списком.</w:t>
      </w:r>
    </w:p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День</w:t>
      </w:r>
      <w:r>
        <w:t xml:space="preserve"> </w:t>
      </w:r>
      <w:r>
        <w:t xml:space="preserve">календарь отображает задачи выбранного дня, при этом завершенные задачи отмечены зеленым, просроченные - красным:</w:t>
      </w:r>
    </w:p>
    <w:bookmarkStart w:id="77" w:name="guide.xhtml#id39"/>
    <w:p>
      <w:pPr>
        <w:pStyle w:val="Compact"/>
      </w:pPr>
      <w:r>
        <w:drawing>
          <wp:inline>
            <wp:extent cx="5334000" cy="2621137"/>
            <wp:effectExtent b="0" l="0" r="0" t="0"/>
            <wp:docPr descr="_images/Calendar_main_day.png" title="" id="1" name="Picture"/>
            <a:graphic>
              <a:graphicData uri="http://schemas.openxmlformats.org/drawingml/2006/picture">
                <pic:pic>
                  <pic:nvPicPr>
                    <pic:cNvPr descr="_images/Calendar_main_da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1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16 Раздел Календарь - День</w:t>
      </w:r>
    </w:p>
    <w:bookmarkEnd w:id="77"/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Неделя</w:t>
      </w:r>
      <w:r>
        <w:t xml:space="preserve"> </w:t>
      </w:r>
      <w:r>
        <w:t xml:space="preserve">календарь отображает задачи выбранной недели. Если выбранная неделя содержит текущий день, то его название и дата выделены синим. Число слева от названия дня означает количество задач. В этом режиме день можно свернуть и развернуть для просмотра задач. На правой панели списком отображены все задачи недели:</w:t>
      </w:r>
    </w:p>
    <w:bookmarkStart w:id="79" w:name="guide.xhtml#id40"/>
    <w:p>
      <w:pPr>
        <w:pStyle w:val="Compact"/>
      </w:pPr>
      <w:r>
        <w:drawing>
          <wp:inline>
            <wp:extent cx="5334000" cy="2603103"/>
            <wp:effectExtent b="0" l="0" r="0" t="0"/>
            <wp:docPr descr="_images/Calendar_main_week.png" title="" id="1" name="Picture"/>
            <a:graphic>
              <a:graphicData uri="http://schemas.openxmlformats.org/drawingml/2006/picture">
                <pic:pic>
                  <pic:nvPicPr>
                    <pic:cNvPr descr="_images/Calendar_main_wee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17 Раздел Календарь - Неделя</w:t>
      </w:r>
    </w:p>
    <w:bookmarkEnd w:id="79"/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Месяц</w:t>
      </w:r>
      <w:r>
        <w:t xml:space="preserve"> </w:t>
      </w:r>
      <w:r>
        <w:t xml:space="preserve">календарь отображает ячейки выбранного месяца. Если выбранный месяц содержит текущий день, то эта дата выделена синим. Число в углу ячейки обозначает количество задач в этот день. При выборе определенного дня на правой панели отображаются подробности по задачам:</w:t>
      </w:r>
    </w:p>
    <w:bookmarkStart w:id="81" w:name="guide.xhtml#id41"/>
    <w:p>
      <w:pPr>
        <w:pStyle w:val="Compact"/>
      </w:pPr>
      <w:r>
        <w:drawing>
          <wp:inline>
            <wp:extent cx="5334000" cy="2605881"/>
            <wp:effectExtent b="0" l="0" r="0" t="0"/>
            <wp:docPr descr="_images/Calendar_main_month.png" title="" id="1" name="Picture"/>
            <a:graphic>
              <a:graphicData uri="http://schemas.openxmlformats.org/drawingml/2006/picture">
                <pic:pic>
                  <pic:nvPicPr>
                    <pic:cNvPr descr="_images/Calendar_main_mont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18 Раздел Календарь - Месяц</w:t>
      </w:r>
    </w:p>
    <w:bookmarkEnd w:id="81"/>
    <w:p>
      <w:pPr>
        <w:pStyle w:val="BodyText"/>
      </w:pPr>
      <w:r>
        <w:t xml:space="preserve">В</w:t>
      </w:r>
      <w:r>
        <w:t xml:space="preserve"> </w:t>
      </w:r>
      <w:r>
        <w:rPr>
          <w:b/>
        </w:rPr>
        <w:t xml:space="preserve">Календаре</w:t>
      </w:r>
      <w:r>
        <w:t xml:space="preserve"> </w:t>
      </w:r>
      <w:r>
        <w:t xml:space="preserve">в правой части строки задачи / плашки задачи на правой панели имеются кнопки просмотра подробностей и удаления задачи.</w:t>
      </w:r>
    </w:p>
    <w:bookmarkEnd w:id="82"/>
    <w:bookmarkStart w:id="89" w:name="guide.xhtml#id19"/>
    <w:p>
      <w:pPr>
        <w:pStyle w:val="Heading2"/>
      </w:pPr>
      <w:r>
        <w:t xml:space="preserve">1.19. Задачи в календаре</w:t>
      </w:r>
    </w:p>
    <w:p>
      <w:pPr>
        <w:pStyle w:val="FirstParagraph"/>
      </w:pPr>
      <w:r>
        <w:t xml:space="preserve">При нажатии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открывается окно создания задачи со следующими полями:</w:t>
      </w:r>
    </w:p>
    <w:p>
      <w:pPr>
        <w:numPr>
          <w:numId w:val="1016"/>
          <w:ilvl w:val="0"/>
        </w:numPr>
      </w:pPr>
      <w:r>
        <w:t xml:space="preserve">дата и время начала, время завершения задачи,</w:t>
      </w:r>
    </w:p>
    <w:p>
      <w:pPr>
        <w:numPr>
          <w:numId w:val="1016"/>
          <w:ilvl w:val="0"/>
        </w:numPr>
      </w:pPr>
      <w:r>
        <w:t xml:space="preserve">комментарий описания,</w:t>
      </w:r>
    </w:p>
    <w:p>
      <w:pPr>
        <w:numPr>
          <w:numId w:val="1016"/>
          <w:ilvl w:val="0"/>
        </w:numPr>
      </w:pPr>
      <w:r>
        <w:t xml:space="preserve">действие (звонок, почта, встреча,…) - выпадающий список,</w:t>
      </w:r>
    </w:p>
    <w:p>
      <w:pPr>
        <w:numPr>
          <w:numId w:val="1016"/>
          <w:ilvl w:val="0"/>
        </w:numPr>
      </w:pPr>
      <w:r>
        <w:t xml:space="preserve">файл,</w:t>
      </w:r>
    </w:p>
    <w:p>
      <w:pPr>
        <w:numPr>
          <w:numId w:val="1016"/>
          <w:ilvl w:val="0"/>
        </w:numPr>
      </w:pPr>
      <w:r>
        <w:t xml:space="preserve">ссылки на контакт и организацию,</w:t>
      </w:r>
    </w:p>
    <w:p>
      <w:pPr>
        <w:numPr>
          <w:numId w:val="1016"/>
          <w:ilvl w:val="0"/>
        </w:numPr>
      </w:pPr>
      <w:r>
        <w:t xml:space="preserve">автор (нередактируемое),</w:t>
      </w:r>
    </w:p>
    <w:p>
      <w:pPr>
        <w:numPr>
          <w:numId w:val="1016"/>
          <w:ilvl w:val="0"/>
        </w:numPr>
      </w:pPr>
      <w:r>
        <w:t xml:space="preserve">подразделение автора (если состоит в нескольких подразделениях),</w:t>
      </w:r>
    </w:p>
    <w:p>
      <w:pPr>
        <w:numPr>
          <w:numId w:val="1016"/>
          <w:ilvl w:val="0"/>
        </w:numPr>
      </w:pPr>
      <w:r>
        <w:t xml:space="preserve">ответственный.</w:t>
      </w:r>
    </w:p>
    <w:p>
      <w:pPr>
        <w:pStyle w:val="FirstParagraph"/>
      </w:pPr>
      <w:r>
        <w:t xml:space="preserve">Для завершения задачи нужно отметить галочку в чекбоксе и подтвердить действие в модальном окне.</w:t>
      </w:r>
    </w:p>
    <w:bookmarkStart w:id="84" w:name="guide.xhtml#id42"/>
    <w:p>
      <w:pPr>
        <w:pStyle w:val="Compact"/>
      </w:pPr>
      <w:r>
        <w:drawing>
          <wp:inline>
            <wp:extent cx="5334000" cy="3241829"/>
            <wp:effectExtent b="0" l="0" r="0" t="0"/>
            <wp:docPr descr="_images/task_creating.png" title="" id="1" name="Picture"/>
            <a:graphic>
              <a:graphicData uri="http://schemas.openxmlformats.org/drawingml/2006/picture">
                <pic:pic>
                  <pic:nvPicPr>
                    <pic:cNvPr descr="_images/task_crea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1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19 Создание задачи</w:t>
      </w:r>
    </w:p>
    <w:bookmarkEnd w:id="84"/>
    <w:p>
      <w:pPr>
        <w:pStyle w:val="BodyText"/>
      </w:pPr>
      <w:r>
        <w:t xml:space="preserve">Если ответственным по задаче/поручению указать подчиненного - задача отобразится в его календаре. Для просмотра таких поручений, нужно выбрать подчиненного (или нескольких) в поле выбора пользователя на верхней панели.</w:t>
      </w:r>
    </w:p>
    <w:bookmarkStart w:id="86" w:name="guide.xhtml#id43"/>
    <w:p>
      <w:pPr>
        <w:pStyle w:val="Compact"/>
      </w:pPr>
      <w:r>
        <w:drawing>
          <wp:inline>
            <wp:extent cx="5334000" cy="3702559"/>
            <wp:effectExtent b="0" l="0" r="0" t="0"/>
            <wp:docPr descr="_images/suborditane_task_view3.6.png" title="" id="1" name="Picture"/>
            <a:graphic>
              <a:graphicData uri="http://schemas.openxmlformats.org/drawingml/2006/picture">
                <pic:pic>
                  <pic:nvPicPr>
                    <pic:cNvPr descr="_images/suborditane_task_view3.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2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20 Просмотр задач подчиненного</w:t>
      </w:r>
    </w:p>
    <w:bookmarkEnd w:id="86"/>
    <w:bookmarkStart w:id="88" w:name="guide.xhtml#id44"/>
    <w:p>
      <w:pPr>
        <w:pStyle w:val="Compact"/>
      </w:pPr>
      <w:r>
        <w:drawing>
          <wp:inline>
            <wp:extent cx="5334000" cy="3714956"/>
            <wp:effectExtent b="0" l="0" r="0" t="0"/>
            <wp:docPr descr="_images/task_view.png" title="" id="1" name="Picture"/>
            <a:graphic>
              <a:graphicData uri="http://schemas.openxmlformats.org/drawingml/2006/picture">
                <pic:pic>
                  <pic:nvPicPr>
                    <pic:cNvPr descr="_images/task_vie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49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21 Просмотр задачи</w:t>
      </w:r>
    </w:p>
    <w:bookmarkEnd w:id="88"/>
    <w:p>
      <w:pPr>
        <w:pStyle w:val="BodyText"/>
      </w:pPr>
      <w:r>
        <w:t xml:space="preserve">В окне просмотра подробностей задачи есть возможность завершить задачу, или перейти в режим редактирования и сделать изменения в задаче.</w:t>
      </w:r>
    </w:p>
    <w:bookmarkEnd w:id="89"/>
    <w:bookmarkStart w:id="92" w:name="guide.xhtml#id20"/>
    <w:p>
      <w:pPr>
        <w:pStyle w:val="Heading2"/>
      </w:pPr>
      <w:r>
        <w:t xml:space="preserve">1.20. Уведомления по задачам</w:t>
      </w:r>
    </w:p>
    <w:p>
      <w:pPr>
        <w:pStyle w:val="FirstParagraph"/>
      </w:pPr>
      <w:r>
        <w:t xml:space="preserve">Если при создании задачи отметить галочкой поле</w:t>
      </w:r>
      <w:r>
        <w:t xml:space="preserve"> </w:t>
      </w:r>
      <w:r>
        <w:rPr>
          <w:i/>
        </w:rPr>
        <w:t xml:space="preserve">Напомнить (в минутах)</w:t>
      </w:r>
      <w:r>
        <w:t xml:space="preserve">, то при наступлении нужного времени в браузере во вкладке customers будет показано уведомление о приближайщейся задаче. Также первое появление уведомления по задаче будет сопровождено звуковым сигналом.</w:t>
      </w:r>
      <w:r>
        <w:t xml:space="preserve"> </w:t>
      </w:r>
      <w:r>
        <w:t xml:space="preserve">Нажатие крестика временно скроет уведомление (по умолчанию обновление уведомлений происходит раз в минуту).</w:t>
      </w:r>
      <w:r>
        <w:t xml:space="preserve"> </w:t>
      </w:r>
      <w:r>
        <w:t xml:space="preserve">При нажатии кнопки</w:t>
      </w:r>
      <w:r>
        <w:t xml:space="preserve"> </w:t>
      </w:r>
      <w:r>
        <w:rPr>
          <w:b/>
        </w:rPr>
        <w:t xml:space="preserve">Отложить</w:t>
      </w:r>
      <w:r>
        <w:t xml:space="preserve"> </w:t>
      </w:r>
      <w:r>
        <w:t xml:space="preserve">уведомление пропадет и появится через 15 минут от текущего момента - и соответственно будет изменено время начала и завершения задачи.</w:t>
      </w:r>
    </w:p>
    <w:p>
      <w:pPr>
        <w:pStyle w:val="BodyText"/>
      </w:pPr>
      <w:r>
        <w:t xml:space="preserve">Если уведомлений больше трех, то оставшееся количество будет показано ниже - на появившейся панели уведомлений.</w:t>
      </w:r>
    </w:p>
    <w:bookmarkStart w:id="91" w:name="guide.xhtml#id45"/>
    <w:p>
      <w:pPr>
        <w:pStyle w:val="Compact"/>
      </w:pPr>
      <w:r>
        <w:drawing>
          <wp:inline>
            <wp:extent cx="5334000" cy="3721484"/>
            <wp:effectExtent b="0" l="0" r="0" t="0"/>
            <wp:docPr descr="_images/push_notification.png" title="" id="1" name="Picture"/>
            <a:graphic>
              <a:graphicData uri="http://schemas.openxmlformats.org/drawingml/2006/picture">
                <pic:pic>
                  <pic:nvPicPr>
                    <pic:cNvPr descr="_images/push_notific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1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22 Уведомления</w:t>
      </w:r>
    </w:p>
    <w:bookmarkEnd w:id="91"/>
    <w:bookmarkEnd w:id="92"/>
    <w:bookmarkEnd w:id="93"/>
    <w:p>
      <w:pPr>
        <w:pStyle w:val="BodyText"/>
      </w:pPr>
      <w:bookmarkStart w:id="94" w:name="description.xhtml"/>
      <w:bookmarkEnd w:id="94"/>
    </w:p>
    <w:bookmarkStart w:id="104" w:name="description.xhtml#synergy-customers"/>
    <w:p>
      <w:pPr>
        <w:pStyle w:val="Heading1"/>
      </w:pPr>
      <w:r>
        <w:t xml:space="preserve">2. Описание компонентов Synergy Customers</w:t>
      </w:r>
    </w:p>
    <w:bookmarkStart w:id="97" w:name="description.xhtml#id1"/>
    <w:p>
      <w:pPr>
        <w:pStyle w:val="Heading2"/>
      </w:pPr>
      <w:r>
        <w:t xml:space="preserve">2.1. Рекомендации по настройке форм</w:t>
      </w:r>
    </w:p>
    <w:p>
      <w:pPr>
        <w:pStyle w:val="FirstParagraph"/>
      </w:pPr>
      <w:r>
        <w:t xml:space="preserve">Общее описание редактора форм, компонентов и их свойств приведено в</w:t>
      </w:r>
      <w:r>
        <w:t xml:space="preserve"> </w:t>
      </w:r>
      <w:hyperlink r:id="rId95">
        <w:r>
          <w:rPr>
            <w:rStyle w:val="Hyperlink"/>
          </w:rPr>
          <w:t xml:space="preserve">спецификации на платформу</w:t>
        </w:r>
      </w:hyperlink>
      <w:r>
        <w:t xml:space="preserve"> </w:t>
      </w:r>
      <w:r>
        <w:t xml:space="preserve">[http://tdd.lan.arta.kz/docs/synergy/tags/minsky/spec/html/sec.conf_forms.html]</w:t>
      </w:r>
      <w:r>
        <w:t xml:space="preserve">.</w:t>
      </w:r>
    </w:p>
    <w:p>
      <w:pPr>
        <w:pStyle w:val="BodyText"/>
      </w:pPr>
      <w:r>
        <w:t xml:space="preserve">Ниже приведены правила и рекомендации к настройке формы для</w:t>
      </w:r>
      <w:r>
        <w:t xml:space="preserve"> </w:t>
      </w:r>
      <w:r>
        <w:t xml:space="preserve">того, чтобы у пользователей был одинаковый опыт их использования</w:t>
      </w:r>
      <w:r>
        <w:t xml:space="preserve"> </w:t>
      </w:r>
      <w:r>
        <w:t xml:space="preserve">как с экранов мониторов, так и с мобильных устройств.</w:t>
      </w:r>
    </w:p>
    <w:p>
      <w:pPr>
        <w:numPr>
          <w:numId w:val="1017"/>
          <w:ilvl w:val="0"/>
        </w:numPr>
      </w:pPr>
      <w:r>
        <w:t xml:space="preserve">Создавайте вертикально-ориентированные формы:</w:t>
      </w:r>
    </w:p>
    <w:p>
      <w:pPr>
        <w:numPr>
          <w:numId w:val="1018"/>
          <w:ilvl w:val="1"/>
        </w:numPr>
      </w:pPr>
      <w:r>
        <w:t xml:space="preserve">группируйте поля в таблицы;</w:t>
      </w:r>
    </w:p>
    <w:p>
      <w:pPr>
        <w:numPr>
          <w:numId w:val="1018"/>
          <w:ilvl w:val="1"/>
        </w:numPr>
      </w:pPr>
      <w:r>
        <w:t xml:space="preserve">добавляйте не более 2 компонентов на одну строку;</w:t>
      </w:r>
    </w:p>
    <w:p>
      <w:pPr>
        <w:numPr>
          <w:numId w:val="1018"/>
          <w:ilvl w:val="1"/>
        </w:numPr>
      </w:pPr>
      <w:r>
        <w:t xml:space="preserve">добавляйте заголовок (подпись) над компонентом.</w:t>
      </w:r>
    </w:p>
    <w:p>
      <w:pPr>
        <w:numPr>
          <w:numId w:val="1017"/>
          <w:ilvl w:val="0"/>
        </w:numPr>
      </w:pPr>
      <w:r>
        <w:t xml:space="preserve">Настройте единый вид всей формы, используя:</w:t>
      </w:r>
    </w:p>
    <w:p>
      <w:pPr>
        <w:numPr>
          <w:numId w:val="1019"/>
          <w:ilvl w:val="1"/>
        </w:numPr>
      </w:pPr>
      <w:r>
        <w:t xml:space="preserve">единый шрифт и размер текста;</w:t>
      </w:r>
    </w:p>
    <w:p>
      <w:pPr>
        <w:numPr>
          <w:numId w:val="1019"/>
          <w:ilvl w:val="1"/>
        </w:numPr>
      </w:pPr>
      <w:r>
        <w:t xml:space="preserve">отступы как от края формы, так и между компонентами:</w:t>
      </w:r>
    </w:p>
    <w:p>
      <w:pPr>
        <w:numPr>
          <w:numId w:val="1020"/>
          <w:ilvl w:val="2"/>
        </w:numPr>
      </w:pPr>
      <w:r>
        <w:t xml:space="preserve">относительные (в %) горизонтальные отступы;</w:t>
      </w:r>
    </w:p>
    <w:p>
      <w:pPr>
        <w:numPr>
          <w:numId w:val="1020"/>
          <w:ilvl w:val="2"/>
        </w:numPr>
      </w:pPr>
      <w:r>
        <w:t xml:space="preserve">абсолютные (в пикселях) вертикальные отступы;</w:t>
      </w:r>
    </w:p>
    <w:p>
      <w:pPr>
        <w:numPr>
          <w:numId w:val="1017"/>
          <w:ilvl w:val="0"/>
        </w:numPr>
      </w:pPr>
      <w:r>
        <w:t xml:space="preserve">Ответственно подойдите к именованию компонентов:</w:t>
      </w:r>
    </w:p>
    <w:p>
      <w:pPr>
        <w:numPr>
          <w:numId w:val="1021"/>
          <w:ilvl w:val="1"/>
        </w:numPr>
      </w:pPr>
      <w:r>
        <w:t xml:space="preserve">имя компонента должно явно описывать его суть;</w:t>
      </w:r>
    </w:p>
    <w:p>
      <w:pPr>
        <w:numPr>
          <w:numId w:val="1021"/>
          <w:ilvl w:val="1"/>
        </w:numPr>
      </w:pPr>
      <w:r>
        <w:t xml:space="preserve">имя заголовка (подписи) должно содержать в себе имя</w:t>
      </w:r>
      <w:r>
        <w:t xml:space="preserve"> </w:t>
      </w:r>
      <w:r>
        <w:t xml:space="preserve">связанного с ним компонента + суффикс</w:t>
      </w:r>
      <w:r>
        <w:t xml:space="preserve"> </w:t>
      </w:r>
      <w:r>
        <w:rPr>
          <w:rStyle w:val="VerbatimChar"/>
        </w:rPr>
        <w:t xml:space="preserve">Label</w:t>
      </w:r>
      <w:r>
        <w:t xml:space="preserve">.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Компонент для ввода БИН организации лучше назвать</w:t>
      </w:r>
      <w:r>
        <w:t xml:space="preserve"> </w:t>
      </w:r>
      <w:r>
        <w:rPr>
          <w:rStyle w:val="VerbatimChar"/>
        </w:rPr>
        <w:t xml:space="preserve">crm_form_account_main_bin</w:t>
      </w:r>
      <w:r>
        <w:t xml:space="preserve">, а подпись к такому</w:t>
      </w:r>
      <w:r>
        <w:t xml:space="preserve"> </w:t>
      </w:r>
      <w:r>
        <w:t xml:space="preserve">компоненту -</w:t>
      </w:r>
      <w:r>
        <w:t xml:space="preserve"> </w:t>
      </w:r>
      <w:r>
        <w:rPr>
          <w:rStyle w:val="VerbatimChar"/>
        </w:rPr>
        <w:t xml:space="preserve">crm_form_account_main_binLabel</w:t>
      </w:r>
      <w:r>
        <w:t xml:space="preserve">.</w:t>
      </w:r>
    </w:p>
    <w:p>
      <w:pPr>
        <w:numPr>
          <w:numId w:val="1022"/>
          <w:ilvl w:val="0"/>
        </w:numPr>
      </w:pPr>
      <w:r>
        <w:rPr>
          <w:b/>
        </w:rPr>
        <w:t xml:space="preserve">Скройте</w:t>
      </w:r>
      <w:r>
        <w:t xml:space="preserve"> </w:t>
      </w:r>
      <w:r>
        <w:t xml:space="preserve">ненужные и неиспользуемые компоненты (</w:t>
      </w:r>
      <w:r>
        <w:rPr>
          <w:b/>
        </w:rPr>
        <w:t xml:space="preserve">не удаляйте</w:t>
      </w:r>
      <w:r>
        <w:t xml:space="preserve"> </w:t>
      </w:r>
      <w:r>
        <w:t xml:space="preserve">и перенесите в самый низ формы). Эти компоненты могут</w:t>
      </w:r>
      <w:r>
        <w:t xml:space="preserve"> </w:t>
      </w:r>
      <w:r>
        <w:t xml:space="preserve">использоваться в различных функциях / скриптах. Таким</w:t>
      </w:r>
      <w:r>
        <w:t xml:space="preserve"> </w:t>
      </w:r>
      <w:r>
        <w:t xml:space="preserve">образом вы избавитесь от потенциальных проблем и ошибок в</w:t>
      </w:r>
      <w:r>
        <w:t xml:space="preserve"> </w:t>
      </w:r>
      <w:r>
        <w:t xml:space="preserve">дальнейшем использовании продукта.</w:t>
      </w:r>
    </w:p>
    <w:p>
      <w:pPr>
        <w:pStyle w:val="FirstParagraph"/>
      </w:pPr>
      <w:r>
        <w:t xml:space="preserve">Все формы в продукте настроены с учетом приведенных рекомендаций.</w:t>
      </w:r>
      <w:r>
        <w:t xml:space="preserve"> </w:t>
      </w:r>
      <w:r>
        <w:t xml:space="preserve">Посмотрите, как они сделаны, и изменяйте их в том же ключе.</w:t>
      </w:r>
    </w:p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3"/>
          <w:ilvl w:val="0"/>
        </w:numPr>
      </w:pPr>
      <w:hyperlink r:id="rId96">
        <w:r>
          <w:rPr>
            <w:rStyle w:val="Hyperlink"/>
          </w:rPr>
          <w:t xml:space="preserve">Как изменить поля в карточках?</w:t>
        </w:r>
      </w:hyperlink>
    </w:p>
    <w:bookmarkEnd w:id="97"/>
    <w:bookmarkStart w:id="99" w:name="description.xhtml#c"/>
    <w:p>
      <w:pPr>
        <w:pStyle w:val="Heading2"/>
      </w:pPr>
      <w:r>
        <w:t xml:space="preserve">2.2. Cправочник «Стадии сделки»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заголовке витрины продаж, а также в карточке сделки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4"/>
          <w:ilvl w:val="0"/>
        </w:numPr>
      </w:pPr>
      <w:hyperlink r:id="rId98">
        <w:r>
          <w:rPr>
            <w:rStyle w:val="Hyperlink"/>
          </w:rPr>
          <w:t xml:space="preserve">Как изменить стадии сделки?</w:t>
        </w:r>
      </w:hyperlink>
    </w:p>
    <w:bookmarkEnd w:id="99"/>
    <w:bookmarkStart w:id="101" w:name="description.xhtml#id5"/>
    <w:p>
      <w:pPr>
        <w:pStyle w:val="Heading2"/>
      </w:pPr>
      <w:r>
        <w:t xml:space="preserve">2.3. Cправочник «Стадии договора»</w:t>
      </w:r>
    </w:p>
    <w:p>
      <w:pPr>
        <w:pStyle w:val="TableCaption"/>
      </w:pPr>
      <w:r>
        <w:t xml:space="preserve">Описание справочника «Стадии договора»</w:t>
      </w:r>
    </w:p>
    <w:tbl>
      <w:tblPr>
        <w:tblStyle w:val="Table"/>
        <w:tblW w:type="pct" w:w="5000.0"/>
        <w:tblLook w:firstRow="1"/>
        <w:tblCaption w:val="Описание справочника «Стадии договора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карточке договора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5"/>
          <w:ilvl w:val="0"/>
        </w:numPr>
      </w:pPr>
      <w:hyperlink r:id="rId100">
        <w:r>
          <w:rPr>
            <w:rStyle w:val="Hyperlink"/>
          </w:rPr>
          <w:t xml:space="preserve">Как изменить стадии договора?</w:t>
        </w:r>
      </w:hyperlink>
    </w:p>
    <w:bookmarkEnd w:id="101"/>
    <w:bookmarkStart w:id="102" w:name="description.xhtml#id7"/>
    <w:p>
      <w:pPr>
        <w:pStyle w:val="Heading2"/>
      </w:pPr>
      <w:r>
        <w:t xml:space="preserve">2.4. Cправочник «Стадии лида»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</w:tbl>
    <w:bookmarkEnd w:id="102"/>
    <w:bookmarkStart w:id="103" w:name="description.xhtml#id8"/>
    <w:p>
      <w:pPr>
        <w:pStyle w:val="Heading2"/>
      </w:pPr>
      <w:r>
        <w:t xml:space="preserve">2.5. Импорт данных</w:t>
      </w:r>
    </w:p>
    <w:p>
      <w:pPr>
        <w:pStyle w:val="FirstParagraph"/>
      </w:pPr>
      <w:r>
        <w:t xml:space="preserve">Функция импорта, реализованная в продукте, универсальная и позволяет</w:t>
      </w:r>
      <w:r>
        <w:t xml:space="preserve"> </w:t>
      </w:r>
      <w:r>
        <w:t xml:space="preserve">загружать данные из Excel в любой реестр Synergy.</w:t>
      </w:r>
    </w:p>
    <w:p>
      <w:pPr>
        <w:pStyle w:val="BodyText"/>
      </w:pPr>
      <w:r>
        <w:t xml:space="preserve">Импорт работает со следующими компонентами формы:</w:t>
      </w:r>
    </w:p>
    <w:p>
      <w:pPr>
        <w:numPr>
          <w:numId w:val="1026"/>
          <w:ilvl w:val="0"/>
        </w:numPr>
      </w:pPr>
      <w:r>
        <w:t xml:space="preserve">текстовые однострочные и многострочные поля;</w:t>
      </w:r>
    </w:p>
    <w:p>
      <w:pPr>
        <w:numPr>
          <w:numId w:val="1026"/>
          <w:ilvl w:val="0"/>
        </w:numPr>
      </w:pPr>
      <w:r>
        <w:t xml:space="preserve">числовые поля;</w:t>
      </w:r>
    </w:p>
    <w:p>
      <w:pPr>
        <w:numPr>
          <w:numId w:val="1026"/>
          <w:ilvl w:val="0"/>
        </w:numPr>
      </w:pPr>
      <w:r>
        <w:t xml:space="preserve">дата/время;</w:t>
      </w:r>
    </w:p>
    <w:p>
      <w:pPr>
        <w:numPr>
          <w:numId w:val="1026"/>
          <w:ilvl w:val="0"/>
        </w:numPr>
      </w:pPr>
      <w:r>
        <w:t xml:space="preserve">справочники (выпадающий список, выбор вариантов, переключатель</w:t>
      </w:r>
      <w:r>
        <w:t xml:space="preserve"> </w:t>
      </w:r>
      <w:r>
        <w:t xml:space="preserve">вариантов);</w:t>
      </w:r>
    </w:p>
    <w:p>
      <w:pPr>
        <w:numPr>
          <w:numId w:val="1026"/>
          <w:ilvl w:val="0"/>
        </w:numPr>
      </w:pPr>
      <w:r>
        <w:t xml:space="preserve">ссылка на реестр.</w:t>
      </w:r>
    </w:p>
    <w:p>
      <w:pPr>
        <w:pStyle w:val="FirstParagraph"/>
      </w:pPr>
      <w:r>
        <w:t xml:space="preserve">Требования к файлу Excel:</w:t>
      </w:r>
    </w:p>
    <w:p>
      <w:pPr>
        <w:numPr>
          <w:numId w:val="1027"/>
          <w:ilvl w:val="0"/>
        </w:numPr>
      </w:pPr>
      <w:r>
        <w:t xml:space="preserve">Формат файла: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.</w:t>
      </w:r>
    </w:p>
    <w:p>
      <w:pPr>
        <w:numPr>
          <w:numId w:val="1027"/>
          <w:ilvl w:val="0"/>
        </w:numPr>
      </w:pPr>
      <w:r>
        <w:t xml:space="preserve">Первая строка файла - заголовки; далее - строки для импорта в</w:t>
      </w:r>
      <w:r>
        <w:t xml:space="preserve"> </w:t>
      </w:r>
      <w:r>
        <w:t xml:space="preserve">записи реестра.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1 строка в Excel = 1 запись реестра.</w:t>
      </w:r>
    </w:p>
    <w:p>
      <w:pPr>
        <w:numPr>
          <w:numId w:val="1027"/>
          <w:ilvl w:val="0"/>
        </w:numPr>
      </w:pPr>
      <w:r>
        <w:t xml:space="preserve">Столбцы, которые</w:t>
      </w:r>
      <w:r>
        <w:t xml:space="preserve"> </w:t>
      </w:r>
      <w:r>
        <w:rPr>
          <w:b/>
        </w:rPr>
        <w:t xml:space="preserve">не нужно</w:t>
      </w:r>
      <w:r>
        <w:t xml:space="preserve"> </w:t>
      </w:r>
      <w:r>
        <w:t xml:space="preserve">импортировать обозначить заголовком</w:t>
      </w:r>
      <w:r>
        <w:t xml:space="preserve"> </w:t>
      </w:r>
      <w:r>
        <w:rPr>
          <w:rStyle w:val="VerbatimChar"/>
        </w:rPr>
        <w:t xml:space="preserve">no</w:t>
      </w:r>
      <w:r>
        <w:t xml:space="preserve">.</w:t>
      </w:r>
    </w:p>
    <w:p>
      <w:pPr>
        <w:numPr>
          <w:numId w:val="1027"/>
          <w:ilvl w:val="0"/>
        </w:numPr>
      </w:pPr>
      <w:r>
        <w:t xml:space="preserve">Остальные заголовки должны содержать в себе точный код поля</w:t>
      </w:r>
      <w:r>
        <w:t xml:space="preserve"> </w:t>
      </w:r>
      <w:r>
        <w:t xml:space="preserve">формы (например,</w:t>
      </w:r>
      <w:r>
        <w:t xml:space="preserve"> </w:t>
      </w:r>
      <w:r>
        <w:rPr>
          <w:rStyle w:val="VerbatimChar"/>
        </w:rPr>
        <w:t xml:space="preserve">crm_form_account_main_adress</w:t>
      </w:r>
      <w:r>
        <w:t xml:space="preserve">).</w:t>
      </w:r>
    </w:p>
    <w:p>
      <w:pPr>
        <w:numPr>
          <w:numId w:val="1027"/>
          <w:ilvl w:val="0"/>
        </w:numPr>
      </w:pPr>
      <w:r>
        <w:t xml:space="preserve">Для корректного импорта чисел значение поля в файле должно быть</w:t>
      </w:r>
      <w:r>
        <w:t xml:space="preserve"> </w:t>
      </w:r>
      <w:r>
        <w:t xml:space="preserve">в числовом формате.</w:t>
      </w:r>
    </w:p>
    <w:p>
      <w:pPr>
        <w:numPr>
          <w:numId w:val="1027"/>
          <w:ilvl w:val="0"/>
        </w:numPr>
      </w:pPr>
      <w:r>
        <w:t xml:space="preserve">Для корректного импорта дат значение поля в файле должно быть</w:t>
      </w:r>
      <w:r>
        <w:t xml:space="preserve"> </w:t>
      </w:r>
      <w:r>
        <w:t xml:space="preserve">в формате даты.</w:t>
      </w:r>
    </w:p>
    <w:p>
      <w:pPr>
        <w:numPr>
          <w:numId w:val="1027"/>
          <w:ilvl w:val="0"/>
        </w:numPr>
      </w:pPr>
      <w:r>
        <w:t xml:space="preserve">Для корректного импорта справочников значение поля в файле должно</w:t>
      </w:r>
      <w:r>
        <w:t xml:space="preserve"> </w:t>
      </w:r>
      <w:r>
        <w:t xml:space="preserve">точь-в-точь совпадать с его «наименованием» у справочника.</w:t>
      </w:r>
    </w:p>
    <w:p>
      <w:pPr>
        <w:numPr>
          <w:numId w:val="1027"/>
          <w:ilvl w:val="0"/>
        </w:numPr>
      </w:pPr>
      <w:r>
        <w:t xml:space="preserve">Для корректного импорта нескольких значений в компонент выбора</w:t>
      </w:r>
      <w:r>
        <w:t xml:space="preserve"> </w:t>
      </w:r>
      <w:r>
        <w:t xml:space="preserve">вариантов (чекбокс) в файле их нужно прописать в одной ячейке</w:t>
      </w:r>
      <w:r>
        <w:t xml:space="preserve"> </w:t>
      </w:r>
      <w:r>
        <w:t xml:space="preserve">через</w:t>
      </w:r>
      <w:r>
        <w:t xml:space="preserve"> </w:t>
      </w:r>
      <w:r>
        <w:rPr>
          <w:rStyle w:val="VerbatimChar"/>
        </w:rPr>
        <w:t xml:space="preserve">;</w:t>
      </w:r>
      <w:r>
        <w:t xml:space="preserve"> </w:t>
      </w:r>
      <w:r>
        <w:t xml:space="preserve">с пробелом.</w:t>
      </w:r>
    </w:p>
    <w:p>
      <w:pPr>
        <w:numPr>
          <w:numId w:val="1027"/>
          <w:ilvl w:val="0"/>
        </w:numPr>
      </w:pPr>
      <w:r>
        <w:t xml:space="preserve">Желательно избегать содержания в файле спец.символов json:</w:t>
      </w:r>
      <w:r>
        <w:t xml:space="preserve"> </w:t>
      </w:r>
      <w:r>
        <w:rPr>
          <w:rStyle w:val="VerbatimChar"/>
        </w:rPr>
        <w:t xml:space="preserve">"</w:t>
      </w:r>
      <w:r>
        <w:t xml:space="preserve">,</w:t>
      </w:r>
      <w:r>
        <w:t xml:space="preserve"> </w:t>
      </w:r>
      <w:r>
        <w:rPr>
          <w:rStyle w:val="VerbatimChar"/>
        </w:rPr>
        <w:t xml:space="preserve">\</w:t>
      </w:r>
      <w:r>
        <w:t xml:space="preserve">,</w:t>
      </w:r>
      <w:r>
        <w:t xml:space="preserve"> </w:t>
      </w:r>
      <w:r>
        <w:rPr>
          <w:rStyle w:val="VerbatimChar"/>
        </w:rPr>
        <w:t xml:space="preserve">\b</w:t>
      </w:r>
      <w:r>
        <w:t xml:space="preserve">,</w:t>
      </w:r>
      <w:r>
        <w:t xml:space="preserve"> </w:t>
      </w:r>
      <w:r>
        <w:rPr>
          <w:rStyle w:val="VerbatimChar"/>
        </w:rPr>
        <w:t xml:space="preserve">\t</w:t>
      </w:r>
      <w:r>
        <w:t xml:space="preserve"> </w:t>
      </w:r>
      <w:r>
        <w:t xml:space="preserve">и т.д.</w:t>
      </w:r>
    </w:p>
    <w:p>
      <w:pPr>
        <w:pStyle w:val="FirstParagraph"/>
      </w:pPr>
      <w:r>
        <w:t xml:space="preserve">Использование:</w:t>
      </w:r>
    </w:p>
    <w:p>
      <w:pPr>
        <w:numPr>
          <w:numId w:val="1028"/>
          <w:ilvl w:val="0"/>
        </w:numPr>
      </w:pPr>
      <w:r>
        <w:t xml:space="preserve">Заполнить код формы и код реестра, в который будет проводиться</w:t>
      </w:r>
      <w:r>
        <w:t xml:space="preserve"> </w:t>
      </w:r>
      <w:r>
        <w:t xml:space="preserve">импорт. Коды можно взять в конфигураторе.</w:t>
      </w:r>
    </w:p>
    <w:p>
      <w:pPr>
        <w:numPr>
          <w:numId w:val="1028"/>
          <w:ilvl w:val="0"/>
        </w:numPr>
      </w:pPr>
      <w:r>
        <w:t xml:space="preserve">Заполнить логин и пароль пользоваться, от имени которого будут</w:t>
      </w:r>
      <w:r>
        <w:t xml:space="preserve"> </w:t>
      </w:r>
      <w:r>
        <w:t xml:space="preserve">выполняться все запросы. Пользователь должен иметь права на все</w:t>
      </w:r>
      <w:r>
        <w:t xml:space="preserve"> </w:t>
      </w:r>
      <w:r>
        <w:t xml:space="preserve">реестры (куда происходит импорт и если в файле имеются ссылки на</w:t>
      </w:r>
      <w:r>
        <w:t xml:space="preserve"> </w:t>
      </w:r>
      <w:r>
        <w:t xml:space="preserve">прочие реестры).</w:t>
      </w:r>
    </w:p>
    <w:p>
      <w:pPr>
        <w:numPr>
          <w:numId w:val="1028"/>
          <w:ilvl w:val="0"/>
        </w:numPr>
      </w:pPr>
      <w:r>
        <w:t xml:space="preserve">Если импортируемые записи необходимо запустить по маршруту,</w:t>
      </w:r>
      <w:r>
        <w:t xml:space="preserve"> </w:t>
      </w:r>
      <w:r>
        <w:t xml:space="preserve">требуется поставить галочку «Активировать импортированные записи».</w:t>
      </w:r>
    </w:p>
    <w:p>
      <w:pPr>
        <w:numPr>
          <w:numId w:val="1028"/>
          <w:ilvl w:val="0"/>
        </w:numPr>
      </w:pPr>
      <w:r>
        <w:t xml:space="preserve">Если присутсвуют ссылки на реестр</w:t>
      </w:r>
      <w:r>
        <w:t xml:space="preserve"> </w:t>
      </w:r>
      <w:r>
        <w:rPr>
          <w:b/>
        </w:rPr>
        <w:t xml:space="preserve">обязательно</w:t>
      </w:r>
      <w:r>
        <w:t xml:space="preserve"> </w:t>
      </w:r>
      <w:r>
        <w:t xml:space="preserve">нужно заполнить</w:t>
      </w:r>
      <w:r>
        <w:t xml:space="preserve"> </w:t>
      </w:r>
      <w:r>
        <w:t xml:space="preserve">поле для поиска в формате:</w:t>
      </w:r>
    </w:p>
    <w:p>
      <w:pPr>
        <w:numPr>
          <w:numId w:val="1000"/>
          <w:ilvl w:val="0"/>
        </w:numPr>
      </w:pPr>
      <w:r>
        <w:rPr>
          <w:rStyle w:val="VerbatimChar"/>
        </w:rPr>
        <w:t xml:space="preserve">(код компонента на форме, куда производится импорт):(код компонента на форме, на которую указывает компонент ссылки на реестр, по которому должен производится поиск)</w:t>
      </w:r>
    </w:p>
    <w:p>
      <w:pPr>
        <w:numPr>
          <w:numId w:val="1000"/>
          <w:ilvl w:val="0"/>
        </w:numPr>
      </w:pPr>
      <w:r>
        <w:t xml:space="preserve">Для каждой ссылки на реестр необходимо через запятую с пробелом</w:t>
      </w:r>
      <w:r>
        <w:t xml:space="preserve"> </w:t>
      </w:r>
      <w:r>
        <w:t xml:space="preserve">необходимо указать подобные пары.</w:t>
      </w:r>
    </w:p>
    <w:p>
      <w:pPr>
        <w:numPr>
          <w:numId w:val="1028"/>
          <w:ilvl w:val="0"/>
        </w:numPr>
      </w:pPr>
      <w:r>
        <w:t xml:space="preserve">При поиске записей для ссылок на реестр может найтись несколько</w:t>
      </w:r>
      <w:r>
        <w:t xml:space="preserve"> </w:t>
      </w:r>
      <w:r>
        <w:t xml:space="preserve">записей реестра. Укажите в соотвествующем пункте действия на этот</w:t>
      </w:r>
      <w:r>
        <w:t xml:space="preserve"> </w:t>
      </w:r>
      <w:r>
        <w:t xml:space="preserve">случай. Если не найдена ни одна запись, значение останется пустым.</w:t>
      </w:r>
    </w:p>
    <w:p>
      <w:pPr>
        <w:numPr>
          <w:numId w:val="1028"/>
          <w:ilvl w:val="0"/>
        </w:numPr>
      </w:pPr>
      <w:r>
        <w:t xml:space="preserve">Выберите заранее подготовленный файл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 </w:t>
      </w:r>
      <w:r>
        <w:t xml:space="preserve">и нажмите на кнопку</w:t>
      </w:r>
      <w:r>
        <w:t xml:space="preserve"> </w:t>
      </w:r>
      <w:r>
        <w:t xml:space="preserve">«Импортировать». Импорт начнет в нескольких потоках обрабатывать</w:t>
      </w:r>
      <w:r>
        <w:t xml:space="preserve"> </w:t>
      </w:r>
      <w:r>
        <w:t xml:space="preserve">переданные записи. Следить за процессом можно через логи системы</w:t>
      </w:r>
      <w:r>
        <w:t xml:space="preserve"> </w:t>
      </w:r>
      <w:r>
        <w:t xml:space="preserve">Synergy.</w:t>
      </w:r>
    </w:p>
    <w:bookmarkEnd w:id="103"/>
    <w:bookmarkEnd w:id="104"/>
    <w:p>
      <w:pPr>
        <w:pStyle w:val="FirstParagraph"/>
      </w:pPr>
      <w:bookmarkStart w:id="105" w:name="faq.xhtml"/>
      <w:bookmarkEnd w:id="105"/>
    </w:p>
    <w:bookmarkStart w:id="116" w:name="faq.xhtml#synergy-customers"/>
    <w:p>
      <w:pPr>
        <w:pStyle w:val="Heading1"/>
      </w:pPr>
      <w:r>
        <w:t xml:space="preserve">3. Настройка и кастомизация Synergy Customers</w:t>
      </w:r>
    </w:p>
    <w:bookmarkStart w:id="107" w:name="faq.xhtml#id1"/>
    <w:p>
      <w:pPr>
        <w:pStyle w:val="Heading2"/>
      </w:pPr>
      <w:r>
        <w:t xml:space="preserve">3.1. Можно ли изменить дизайн продукта?</w:t>
      </w:r>
    </w:p>
    <w:p>
      <w:pPr>
        <w:pStyle w:val="FirstParagraph"/>
      </w:pPr>
      <w:r>
        <w:rPr>
          <w:i/>
        </w:rPr>
        <w:t xml:space="preserve">Теги: изменить дизайн, изменить интерфейс.</w:t>
      </w:r>
    </w:p>
    <w:p>
      <w:pPr>
        <w:pStyle w:val="BodyText"/>
      </w:pPr>
      <w:r>
        <w:rPr>
          <w:i/>
        </w:rPr>
        <w:t xml:space="preserve">Уровень: разработчик.</w:t>
      </w:r>
    </w:p>
    <w:p>
      <w:pPr>
        <w:pStyle w:val="BodyText"/>
      </w:pPr>
      <w:r>
        <w:t xml:space="preserve">Продукт реализован на платформе Arta Synergy и конструкторе</w:t>
      </w:r>
      <w:r>
        <w:t xml:space="preserve"> </w:t>
      </w:r>
      <w:r>
        <w:t xml:space="preserve">приложений в частности. Данный конструктор приложений</w:t>
      </w:r>
      <w:r>
        <w:t xml:space="preserve"> </w:t>
      </w:r>
      <w:r>
        <w:t xml:space="preserve">обеспечивает дизайн «по умолчанию», используется встроенный</w:t>
      </w:r>
      <w:r>
        <w:t xml:space="preserve"> </w:t>
      </w:r>
      <w:r>
        <w:t xml:space="preserve">framework</w:t>
      </w:r>
      <w:r>
        <w:t xml:space="preserve"> </w:t>
      </w:r>
      <w:hyperlink r:id="rId106">
        <w:r>
          <w:rPr>
            <w:rStyle w:val="Hyperlink"/>
          </w:rPr>
          <w:t xml:space="preserve">UIKit</w:t>
        </w:r>
      </w:hyperlink>
      <w:r>
        <w:t xml:space="preserve"> </w:t>
      </w:r>
      <w:r>
        <w:t xml:space="preserve">[https://getuikit.com/docs/introduction]</w:t>
      </w:r>
      <w:r>
        <w:t xml:space="preserve">.</w:t>
      </w:r>
    </w:p>
    <w:p>
      <w:pPr>
        <w:pStyle w:val="BodyText"/>
      </w:pPr>
      <w:r>
        <w:t xml:space="preserve">При этом конструктор приложений позволяет менять дизайн продукта.</w:t>
      </w:r>
      <w:r>
        <w:t xml:space="preserve"> </w:t>
      </w:r>
      <w:r>
        <w:t xml:space="preserve">Для этого необходимо:</w:t>
      </w:r>
    </w:p>
    <w:p>
      <w:pPr>
        <w:numPr>
          <w:numId w:val="1029"/>
          <w:ilvl w:val="0"/>
        </w:numPr>
      </w:pPr>
      <w:r>
        <w:t xml:space="preserve">подключить разработчика со знаниями HTML/CSS и JavaScript;</w:t>
      </w:r>
    </w:p>
    <w:p>
      <w:pPr>
        <w:numPr>
          <w:numId w:val="1029"/>
          <w:ilvl w:val="0"/>
        </w:numPr>
      </w:pPr>
      <w:r>
        <w:t xml:space="preserve">в приложении конструктора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переопределить стили</w:t>
      </w:r>
      <w:r>
        <w:t xml:space="preserve"> </w:t>
      </w:r>
      <w:r>
        <w:t xml:space="preserve">в ресурсах и свойствах всех используемых компонентов:</w:t>
      </w:r>
    </w:p>
    <w:p>
      <w:pPr>
        <w:numPr>
          <w:numId w:val="1030"/>
          <w:ilvl w:val="1"/>
        </w:numPr>
      </w:pPr>
      <w:r>
        <w:t xml:space="preserve">«CSS Класс» и «Стили» - у стандартных компонентов;</w:t>
      </w:r>
    </w:p>
    <w:p>
      <w:pPr>
        <w:numPr>
          <w:numId w:val="1030"/>
          <w:ilvl w:val="1"/>
        </w:numPr>
      </w:pPr>
      <w:r>
        <w:t xml:space="preserve">«HTML» и «Стили» - у пользовательских компонентов.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Изменить цвета витрины продаж можно без разработчика</w:t>
      </w:r>
      <w:r>
        <w:t xml:space="preserve"> </w:t>
      </w:r>
      <w:r>
        <w:t xml:space="preserve">штатными средствами, см. подробнее</w:t>
      </w:r>
      <w:r>
        <w:t xml:space="preserve"> </w:t>
      </w:r>
      <w:hyperlink w:anchor="faq.xhtml#id5">
        <w:r>
          <w:rPr>
            <w:rStyle w:val="Hyperlink"/>
          </w:rPr>
          <w:t xml:space="preserve">здесь</w:t>
        </w:r>
      </w:hyperlink>
      <w:r>
        <w:t xml:space="preserve">.</w:t>
      </w:r>
    </w:p>
    <w:bookmarkEnd w:id="107"/>
    <w:bookmarkStart w:id="108" w:name="faq.xhtml#url"/>
    <w:p>
      <w:pPr>
        <w:pStyle w:val="Heading2"/>
      </w:pPr>
      <w:r>
        <w:t xml:space="preserve">3.2. Как изменить URL-адрес приложения?</w:t>
      </w:r>
    </w:p>
    <w:p>
      <w:pPr>
        <w:pStyle w:val="FirstParagraph"/>
      </w:pPr>
      <w:r>
        <w:rPr>
          <w:i/>
        </w:rPr>
        <w:t xml:space="preserve">Теги: адрес приложения, URL, /customers.</w:t>
      </w:r>
    </w:p>
    <w:p>
      <w:pPr>
        <w:pStyle w:val="BodyText"/>
      </w:pPr>
      <w:r>
        <w:rPr>
          <w:i/>
        </w:rPr>
        <w:t xml:space="preserve">Уровень: системный администратор.</w:t>
      </w:r>
    </w:p>
    <w:p>
      <w:pPr>
        <w:pStyle w:val="BodyText"/>
      </w:pPr>
      <w:r>
        <w:t xml:space="preserve">В качестве примера изменим URL с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31"/>
          <w:ilvl w:val="0"/>
        </w:numPr>
      </w:pPr>
      <w:r>
        <w:t xml:space="preserve">Авторизоваться в Конструкторе приложений и перейти в</w:t>
      </w:r>
      <w:r>
        <w:t xml:space="preserve"> </w:t>
      </w:r>
      <w:r>
        <w:t xml:space="preserve">актуальную версию приложения «Customers 3.0»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1"/>
          <w:ilvl w:val="0"/>
        </w:numPr>
      </w:pPr>
      <w:r>
        <w:t xml:space="preserve">Открыть свойства приложения и поменять значение поля URL</w:t>
      </w:r>
      <w:r>
        <w:t xml:space="preserve"> </w:t>
      </w:r>
      <w:r>
        <w:t xml:space="preserve">с дефолтного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 новое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31"/>
          <w:ilvl w:val="0"/>
        </w:numPr>
      </w:pPr>
      <w:r>
        <w:t xml:space="preserve">Передеплоить приложение.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1.</w:t>
      </w:r>
      <w:r>
        <w:t xml:space="preserve"> </w:t>
      </w:r>
      <w:r>
        <w:t xml:space="preserve">В Конструкторе приложений использовать меню</w:t>
      </w:r>
      <w:r>
        <w:t xml:space="preserve"> </w:t>
      </w:r>
      <w:r>
        <w:t xml:space="preserve">Клиент -&gt; Деплой.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2.</w:t>
      </w:r>
      <w:r>
        <w:t xml:space="preserve"> </w:t>
      </w:r>
      <w:r>
        <w:t xml:space="preserve">Передеплоить приложение со стороны сервера:</w:t>
      </w:r>
    </w:p>
    <w:p>
      <w:pPr>
        <w:numPr>
          <w:numId w:val="1032"/>
          <w:ilvl w:val="1"/>
        </w:numPr>
      </w:pPr>
      <w:r>
        <w:t xml:space="preserve">Перейти в папку</w:t>
      </w:r>
      <w:r>
        <w:t xml:space="preserve"> </w:t>
      </w:r>
      <w:r>
        <w:rPr>
          <w:rStyle w:val="VerbatimChar"/>
        </w:rPr>
        <w:t xml:space="preserve">deployments</w:t>
      </w:r>
      <w:r>
        <w:t xml:space="preserve">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cd /opt/synergy/jboss/standalone/deployments</w:t>
      </w:r>
    </w:p>
    <w:p>
      <w:pPr>
        <w:numPr>
          <w:numId w:val="1032"/>
          <w:ilvl w:val="1"/>
        </w:numPr>
      </w:pPr>
      <w:r>
        <w:t xml:space="preserve">Выполнить команду: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touch sales.war.dodeploy</w:t>
      </w:r>
    </w:p>
    <w:p>
      <w:pPr>
        <w:numPr>
          <w:numId w:val="1031"/>
          <w:ilvl w:val="0"/>
        </w:numPr>
      </w:pPr>
      <w:r>
        <w:t xml:space="preserve">Со стороны сервера перейти в конфигурационный файл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nano /etc/nginx/sites-enabled/synergy-base</w:t>
      </w:r>
    </w:p>
    <w:p>
      <w:pPr>
        <w:numPr>
          <w:numId w:val="1000"/>
          <w:ilvl w:val="0"/>
        </w:numPr>
      </w:pPr>
      <w:r>
        <w:t xml:space="preserve">и поменять дефолтный контекст</w:t>
      </w:r>
      <w:r>
        <w:t xml:space="preserve"> </w:t>
      </w:r>
      <w:r>
        <w:rPr>
          <w:rStyle w:val="VerbatimChar"/>
        </w:rPr>
        <w:t xml:space="preserve">/customers</w:t>
      </w:r>
      <w:r>
        <w:t xml:space="preserve"> </w:t>
      </w:r>
      <w:r>
        <w:t xml:space="preserve">на новый</w:t>
      </w:r>
      <w:r>
        <w:t xml:space="preserve"> </w:t>
      </w:r>
      <w:r>
        <w:rPr>
          <w:rStyle w:val="VerbatimChar"/>
        </w:rPr>
        <w:t xml:space="preserve">/sales</w:t>
      </w:r>
      <w:r>
        <w:t xml:space="preserve">.</w:t>
      </w:r>
    </w:p>
    <w:p>
      <w:pPr>
        <w:numPr>
          <w:numId w:val="1000"/>
          <w:ilvl w:val="0"/>
        </w:numPr>
      </w:pPr>
      <w:r>
        <w:rPr>
          <w:i/>
        </w:rPr>
        <w:t xml:space="preserve">Было customers: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/customers {</w:t>
      </w:r>
      <w:r>
        <w:br w:type="textWrapping"/>
      </w:r>
      <w:r>
        <w:rPr>
          <w:rStyle w:val="VerbatimChar"/>
        </w:rPr>
        <w:t xml:space="preserve">        proxy_pass http://127.0.0.1:8080/customers;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00"/>
          <w:ilvl w:val="0"/>
        </w:numPr>
      </w:pPr>
      <w:r>
        <w:rPr>
          <w:i/>
        </w:rPr>
        <w:t xml:space="preserve">Стало sales: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/sales {</w:t>
      </w:r>
      <w:r>
        <w:br w:type="textWrapping"/>
      </w:r>
      <w:r>
        <w:rPr>
          <w:rStyle w:val="VerbatimChar"/>
        </w:rPr>
        <w:t xml:space="preserve">        proxy_pass http://127.0.0.1:8080/sales;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31"/>
          <w:ilvl w:val="0"/>
        </w:numPr>
      </w:pPr>
      <w:r>
        <w:t xml:space="preserve">Проверить корректность настроек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-t</w:t>
      </w:r>
    </w:p>
    <w:p>
      <w:pPr>
        <w:numPr>
          <w:numId w:val="1000"/>
          <w:ilvl w:val="0"/>
        </w:numPr>
      </w:pPr>
      <w:r>
        <w:t xml:space="preserve">При необходимости исправить ошибки.</w:t>
      </w:r>
    </w:p>
    <w:p>
      <w:pPr>
        <w:numPr>
          <w:numId w:val="1031"/>
          <w:ilvl w:val="0"/>
        </w:numPr>
      </w:pPr>
      <w:r>
        <w:t xml:space="preserve">Если проверка прошла успешно, перезагрузить настройки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-s reload</w:t>
      </w:r>
    </w:p>
    <w:bookmarkEnd w:id="108"/>
    <w:bookmarkStart w:id="110" w:name="faq.xhtml#id3"/>
    <w:p>
      <w:pPr>
        <w:pStyle w:val="Heading2"/>
      </w:pPr>
      <w:r>
        <w:t xml:space="preserve">3.3. Как изменить поля в карточках?</w:t>
      </w:r>
    </w:p>
    <w:p>
      <w:pPr>
        <w:pStyle w:val="FirstParagraph"/>
      </w:pPr>
      <w:r>
        <w:rPr>
          <w:i/>
        </w:rPr>
        <w:t xml:space="preserve">Теги: добавить новое поле, изменить заголовок поля, изменить</w:t>
      </w:r>
      <w:r>
        <w:rPr>
          <w:i/>
        </w:rPr>
        <w:t xml:space="preserve"> </w:t>
      </w:r>
      <w:r>
        <w:rPr>
          <w:i/>
        </w:rPr>
        <w:t xml:space="preserve">порядок следования полей.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t xml:space="preserve">Продукт реализован на платформе Arta Synergy и редактора</w:t>
      </w:r>
      <w:r>
        <w:t xml:space="preserve"> </w:t>
      </w:r>
      <w:r>
        <w:t xml:space="preserve">форм в частности. Данный редактор форм обеспечивает гибкую</w:t>
      </w:r>
      <w:r>
        <w:t xml:space="preserve"> </w:t>
      </w:r>
      <w:r>
        <w:t xml:space="preserve">настройку состава полей любых карточек.</w:t>
      </w:r>
    </w:p>
    <w:p>
      <w:pPr>
        <w:numPr>
          <w:numId w:val="1033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3"/>
          <w:ilvl w:val="0"/>
        </w:numPr>
      </w:pPr>
      <w:r>
        <w:t xml:space="preserve">Найти и открыть нужную форму.</w:t>
      </w:r>
    </w:p>
    <w:p>
      <w:pPr>
        <w:numPr>
          <w:numId w:val="1033"/>
          <w:ilvl w:val="0"/>
        </w:numPr>
      </w:pPr>
      <w:r>
        <w:t xml:space="preserve">Изменить состав полей и их свойства согласно</w:t>
      </w:r>
      <w:r>
        <w:t xml:space="preserve"> </w:t>
      </w:r>
      <w:hyperlink r:id="rId109">
        <w:r>
          <w:rPr>
            <w:rStyle w:val="Hyperlink"/>
          </w:rPr>
          <w:t xml:space="preserve">рекомендаций</w:t>
        </w:r>
      </w:hyperlink>
      <w:r>
        <w:t xml:space="preserve">.</w:t>
      </w:r>
    </w:p>
    <w:bookmarkEnd w:id="110"/>
    <w:bookmarkStart w:id="112" w:name="faq.xhtml#id5"/>
    <w:p>
      <w:pPr>
        <w:pStyle w:val="Heading2"/>
      </w:pPr>
      <w:r>
        <w:t xml:space="preserve">3.4. Как изменить стадии сделки?</w:t>
      </w:r>
    </w:p>
    <w:p>
      <w:pPr>
        <w:pStyle w:val="FirstParagraph"/>
      </w:pPr>
      <w:r>
        <w:rPr>
          <w:i/>
        </w:rPr>
        <w:t xml:space="preserve">Теги: сделка,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сделки».</w:t>
      </w:r>
    </w:p>
    <w:p>
      <w:pPr>
        <w:numPr>
          <w:numId w:val="1034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4"/>
          <w:ilvl w:val="0"/>
        </w:numPr>
      </w:pPr>
      <w:r>
        <w:t xml:space="preserve">Найти и открыть справочник «Стадии сделки» (с кодом</w:t>
      </w:r>
      <w:r>
        <w:t xml:space="preserve"> </w:t>
      </w:r>
      <w:r>
        <w:rPr>
          <w:rStyle w:val="VerbatimChar"/>
        </w:rPr>
        <w:t xml:space="preserve">customers_dict_dealStatus</w:t>
      </w:r>
      <w:r>
        <w:t xml:space="preserve">).</w:t>
      </w:r>
    </w:p>
    <w:p>
      <w:pPr>
        <w:numPr>
          <w:numId w:val="1034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сделок.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4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111">
        <w:r>
          <w:rPr>
            <w:rStyle w:val="Hyperlink"/>
          </w:rPr>
          <w:t xml:space="preserve">стадий сделок</w:t>
        </w:r>
      </w:hyperlink>
      <w:r>
        <w:t xml:space="preserve">.</w:t>
      </w:r>
    </w:p>
    <w:bookmarkEnd w:id="112"/>
    <w:bookmarkStart w:id="114" w:name="faq.xhtml#id7"/>
    <w:p>
      <w:pPr>
        <w:pStyle w:val="Heading2"/>
      </w:pPr>
      <w:r>
        <w:t xml:space="preserve">3.5. Как изменить стадии договора?</w:t>
      </w:r>
    </w:p>
    <w:p>
      <w:pPr>
        <w:pStyle w:val="FirstParagraph"/>
      </w:pPr>
      <w:r>
        <w:rPr>
          <w:i/>
        </w:rPr>
        <w:t xml:space="preserve">Теги: договор,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изменить цвет стадии,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договора».</w:t>
      </w:r>
    </w:p>
    <w:p>
      <w:pPr>
        <w:numPr>
          <w:numId w:val="1035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5"/>
          <w:ilvl w:val="0"/>
        </w:numPr>
      </w:pPr>
      <w:r>
        <w:t xml:space="preserve">Найти и открыть справочник «Стадии договора» (с кодом</w:t>
      </w:r>
      <w:r>
        <w:t xml:space="preserve"> </w:t>
      </w:r>
      <w:r>
        <w:rPr>
          <w:rStyle w:val="VerbatimChar"/>
        </w:rPr>
        <w:t xml:space="preserve">customers_dict_contractStatus</w:t>
      </w:r>
      <w:r>
        <w:t xml:space="preserve">).</w:t>
      </w:r>
    </w:p>
    <w:p>
      <w:pPr>
        <w:numPr>
          <w:numId w:val="1035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договора.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5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113">
        <w:r>
          <w:rPr>
            <w:rStyle w:val="Hyperlink"/>
          </w:rPr>
          <w:t xml:space="preserve">стадий договора</w:t>
        </w:r>
      </w:hyperlink>
      <w:r>
        <w:t xml:space="preserve">.</w:t>
      </w:r>
    </w:p>
    <w:bookmarkEnd w:id="114"/>
    <w:bookmarkStart w:id="115" w:name="faq.xhtml#id9"/>
    <w:p>
      <w:pPr>
        <w:pStyle w:val="Heading2"/>
      </w:pPr>
      <w:r>
        <w:t xml:space="preserve">3.6. Как изменить стадии лида?</w:t>
      </w:r>
    </w:p>
    <w:p>
      <w:pPr>
        <w:pStyle w:val="FirstParagraph"/>
      </w:pPr>
      <w:r>
        <w:rPr>
          <w:i/>
        </w:rPr>
        <w:t xml:space="preserve">Теги: лид,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лида».</w:t>
      </w:r>
    </w:p>
    <w:p>
      <w:pPr>
        <w:numPr>
          <w:numId w:val="1036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6"/>
          <w:ilvl w:val="0"/>
        </w:numPr>
      </w:pPr>
      <w:r>
        <w:t xml:space="preserve">Найти и открыть справочник «Стадии лида» (с кодом</w:t>
      </w:r>
      <w:r>
        <w:t xml:space="preserve"> </w:t>
      </w:r>
      <w:r>
        <w:rPr>
          <w:rStyle w:val="VerbatimChar"/>
        </w:rPr>
        <w:t xml:space="preserve">customers_dict_leadStatus</w:t>
      </w:r>
      <w:r>
        <w:t xml:space="preserve">).</w:t>
      </w:r>
    </w:p>
    <w:p>
      <w:pPr>
        <w:numPr>
          <w:numId w:val="1036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лида.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6"/>
          <w:ilvl w:val="0"/>
        </w:numPr>
      </w:pPr>
      <w:r>
        <w:t xml:space="preserve">Изменить элементы согласно описания справочника стадий лида.</w:t>
      </w:r>
    </w:p>
    <w:bookmarkEnd w:id="115"/>
    <w:bookmarkEnd w:id="116"/>
    <w:p>
      <w:pPr>
        <w:pStyle w:val="FirstParagraph"/>
      </w:pPr>
      <w:bookmarkStart w:id="117" w:name="genindex.xhtml"/>
      <w:bookmarkEnd w:id="117"/>
    </w:p>
    <w:p>
      <w:pPr>
        <w:pStyle w:val="Heading1"/>
      </w:pPr>
      <w:bookmarkStart w:id="118" w:name="genindex.xhtml#index"/>
      <w:r>
        <w:t xml:space="preserve">Алфавитный указатель</w:t>
      </w:r>
      <w:bookmarkEnd w:id="118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1"/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6">
    <w:abstractNumId w:val="991"/>
  </w:num>
  <w:num w:numId="102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1"/>
  </w:num>
  <w:num w:numId="10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  <w:num w:numId="103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26" Target="media/rId26.png" /><Relationship Type="http://schemas.openxmlformats.org/officeDocument/2006/relationships/image" Id="rId76" Target="media/rId76.png" /><Relationship Type="http://schemas.openxmlformats.org/officeDocument/2006/relationships/image" Id="rId80" Target="media/rId80.png" /><Relationship Type="http://schemas.openxmlformats.org/officeDocument/2006/relationships/image" Id="rId78" Target="media/rId78.png" /><Relationship Type="http://schemas.openxmlformats.org/officeDocument/2006/relationships/image" Id="rId52" Target="media/rId52.png" /><Relationship Type="http://schemas.openxmlformats.org/officeDocument/2006/relationships/image" Id="rId23" Target="media/rId23.png" /><Relationship Type="http://schemas.openxmlformats.org/officeDocument/2006/relationships/image" Id="rId63" Target="media/rId63.png" /><Relationship Type="http://schemas.openxmlformats.org/officeDocument/2006/relationships/image" Id="rId65" Target="media/rId65.png" /><Relationship Type="http://schemas.openxmlformats.org/officeDocument/2006/relationships/image" Id="rId60" Target="media/rId60.png" /><Relationship Type="http://schemas.openxmlformats.org/officeDocument/2006/relationships/image" Id="rId38" Target="media/rId38.png" /><Relationship Type="http://schemas.openxmlformats.org/officeDocument/2006/relationships/image" Id="rId44" Target="media/rId44.png" /><Relationship Type="http://schemas.openxmlformats.org/officeDocument/2006/relationships/image" Id="rId46" Target="media/rId46.png" /><Relationship Type="http://schemas.openxmlformats.org/officeDocument/2006/relationships/image" Id="rId73" Target="media/rId73.png" /><Relationship Type="http://schemas.openxmlformats.org/officeDocument/2006/relationships/image" Id="rId68" Target="media/rId68.png" /><Relationship Type="http://schemas.openxmlformats.org/officeDocument/2006/relationships/image" Id="rId32" Target="media/rId32.png" /><Relationship Type="http://schemas.openxmlformats.org/officeDocument/2006/relationships/image" Id="rId55" Target="media/rId55.png" /><Relationship Type="http://schemas.openxmlformats.org/officeDocument/2006/relationships/image" Id="rId71" Target="media/rId71.png" /><Relationship Type="http://schemas.openxmlformats.org/officeDocument/2006/relationships/image" Id="rId41" Target="media/rId41.png" /><Relationship Type="http://schemas.openxmlformats.org/officeDocument/2006/relationships/image" Id="rId90" Target="media/rId90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85" Target="media/rId85.png" /><Relationship Type="http://schemas.openxmlformats.org/officeDocument/2006/relationships/image" Id="rId83" Target="media/rId83.png" /><Relationship Type="http://schemas.openxmlformats.org/officeDocument/2006/relationships/image" Id="rId87" Target="media/rId87.png" /><Relationship Type="http://schemas.openxmlformats.org/officeDocument/2006/relationships/hyperlink" Id="rId111" Target="description.html#c" TargetMode="External" /><Relationship Type="http://schemas.openxmlformats.org/officeDocument/2006/relationships/hyperlink" Id="rId109" Target="description.html#id1" TargetMode="External" /><Relationship Type="http://schemas.openxmlformats.org/officeDocument/2006/relationships/hyperlink" Id="rId113" Target="description.html#id5" TargetMode="External" /><Relationship Type="http://schemas.openxmlformats.org/officeDocument/2006/relationships/hyperlink" Id="rId96" Target="faq.html#id3" TargetMode="External" /><Relationship Type="http://schemas.openxmlformats.org/officeDocument/2006/relationships/hyperlink" Id="rId98" Target="faq.html#id5" TargetMode="External" /><Relationship Type="http://schemas.openxmlformats.org/officeDocument/2006/relationships/hyperlink" Id="rId100" Target="faq.html#id7" TargetMode="External" /><Relationship Type="http://schemas.openxmlformats.org/officeDocument/2006/relationships/hyperlink" Id="rId95" Target="http://tdd.lan.arta.kz/docs/synergy/tags/minsky/spec/html/sec.conf_forms.html" TargetMode="External" /><Relationship Type="http://schemas.openxmlformats.org/officeDocument/2006/relationships/hyperlink" Id="rId106" Target="https://getuikit.com/docs/introduction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11" Target="description.html#c" TargetMode="External" /><Relationship Type="http://schemas.openxmlformats.org/officeDocument/2006/relationships/hyperlink" Id="rId109" Target="description.html#id1" TargetMode="External" /><Relationship Type="http://schemas.openxmlformats.org/officeDocument/2006/relationships/hyperlink" Id="rId113" Target="description.html#id5" TargetMode="External" /><Relationship Type="http://schemas.openxmlformats.org/officeDocument/2006/relationships/hyperlink" Id="rId96" Target="faq.html#id3" TargetMode="External" /><Relationship Type="http://schemas.openxmlformats.org/officeDocument/2006/relationships/hyperlink" Id="rId98" Target="faq.html#id5" TargetMode="External" /><Relationship Type="http://schemas.openxmlformats.org/officeDocument/2006/relationships/hyperlink" Id="rId100" Target="faq.html#id7" TargetMode="External" /><Relationship Type="http://schemas.openxmlformats.org/officeDocument/2006/relationships/hyperlink" Id="rId95" Target="http://tdd.lan.arta.kz/docs/synergy/tags/minsky/spec/html/sec.conf_forms.html" TargetMode="External" /><Relationship Type="http://schemas.openxmlformats.org/officeDocument/2006/relationships/hyperlink" Id="rId106" Target="https://getuikit.com/docs/introduc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Инструкция по настройке и использованию Synergy Customers 3.9</dc:title>
  <dc:creator>unknown</dc:creator>
  <cp:keywords/>
  <dcterms:created xsi:type="dcterms:W3CDTF">2023-10-27T12:17:29Z</dcterms:created>
  <dcterms:modified xsi:type="dcterms:W3CDTF">2023-10-27T12:17:29Z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