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26.png" ContentType="image/png"/>
  <Override PartName="/word/media/rId67.png" ContentType="image/png"/>
  <Override PartName="/word/media/rId71.png" ContentType="image/png"/>
  <Override PartName="/word/media/rId69.png" ContentType="image/png"/>
  <Override PartName="/word/media/rId43.png" ContentType="image/png"/>
  <Override PartName="/word/media/rId23.png" ContentType="image/png"/>
  <Override PartName="/word/media/rId54.png" ContentType="image/png"/>
  <Override PartName="/word/media/rId56.png" ContentType="image/png"/>
  <Override PartName="/word/media/rId51.png" ContentType="image/png"/>
  <Override PartName="/word/media/rId38.png" ContentType="image/png"/>
  <Override PartName="/word/media/rId64.png" ContentType="image/png"/>
  <Override PartName="/word/media/rId59.png" ContentType="image/png"/>
  <Override PartName="/word/media/rId32.png" ContentType="image/png"/>
  <Override PartName="/word/media/rId46.png" ContentType="image/png"/>
  <Override PartName="/word/media/rId62.png" ContentType="image/png"/>
  <Override PartName="/word/media/rId81.png" ContentType="image/png"/>
  <Override PartName="/word/media/rId34.png" ContentType="image/png"/>
  <Override PartName="/word/media/rId36.png" ContentType="image/png"/>
  <Override PartName="/word/media/rId76.png" ContentType="image/png"/>
  <Override PartName="/word/media/rId74.png" ContentType="image/png"/>
  <Override PartName="/word/media/rId7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Инструкция по настройке и использованию Synergy Customers 3.5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2023-05-19T04:34:35Z</w:t>
      </w:r>
    </w:p>
    <w:p>
      <w:pPr>
        <w:pStyle w:val="FirstParagraph"/>
      </w:pPr>
      <w:bookmarkStart w:id="20" w:name="index.xhtml"/>
      <w:bookmarkEnd w:id="20"/>
    </w:p>
    <w:bookmarkStart w:id="21" w:name="index.xhtml#synergy-customers"/>
    <w:p>
      <w:pPr>
        <w:pStyle w:val="Heading1"/>
      </w:pPr>
      <w:r>
        <w:t xml:space="preserve">Инструкции по настройке Synergy Customers</w:t>
      </w:r>
    </w:p>
    <w:p>
      <w:pPr>
        <w:pStyle w:val="Compact"/>
        <w:numPr>
          <w:numId w:val="1001"/>
          <w:ilvl w:val="0"/>
        </w:numPr>
      </w:pPr>
      <w:hyperlink w:anchor="guide.xhtml">
        <w:r>
          <w:rPr>
            <w:rStyle w:val="Hyperlink"/>
          </w:rPr>
          <w:t xml:space="preserve">1. Описание Synergy Customers</w:t>
        </w:r>
      </w:hyperlink>
    </w:p>
    <w:p>
      <w:pPr>
        <w:pStyle w:val="Compact"/>
        <w:numPr>
          <w:numId w:val="1002"/>
          <w:ilvl w:val="1"/>
        </w:numPr>
      </w:pPr>
      <w:hyperlink w:anchor="guide.xhtml#id1">
        <w:r>
          <w:rPr>
            <w:rStyle w:val="Hyperlink"/>
          </w:rPr>
          <w:t xml:space="preserve">1.1. Главная страница</w:t>
        </w:r>
      </w:hyperlink>
    </w:p>
    <w:p>
      <w:pPr>
        <w:pStyle w:val="Compact"/>
        <w:numPr>
          <w:numId w:val="1002"/>
          <w:ilvl w:val="1"/>
        </w:numPr>
      </w:pPr>
      <w:hyperlink w:anchor="guide.xhtml#id2">
        <w:r>
          <w:rPr>
            <w:rStyle w:val="Hyperlink"/>
          </w:rPr>
          <w:t xml:space="preserve">1.2. Фильтры реестра</w:t>
        </w:r>
      </w:hyperlink>
    </w:p>
    <w:p>
      <w:pPr>
        <w:pStyle w:val="Compact"/>
        <w:numPr>
          <w:numId w:val="1002"/>
          <w:ilvl w:val="1"/>
        </w:numPr>
      </w:pPr>
      <w:hyperlink w:anchor="guide.xhtml#id3">
        <w:r>
          <w:rPr>
            <w:rStyle w:val="Hyperlink"/>
          </w:rPr>
          <w:t xml:space="preserve">1.3. Расширенный поиск</w:t>
        </w:r>
      </w:hyperlink>
    </w:p>
    <w:p>
      <w:pPr>
        <w:pStyle w:val="Compact"/>
        <w:numPr>
          <w:numId w:val="1002"/>
          <w:ilvl w:val="1"/>
        </w:numPr>
      </w:pPr>
      <w:hyperlink w:anchor="guide.xhtml#id4">
        <w:r>
          <w:rPr>
            <w:rStyle w:val="Hyperlink"/>
          </w:rPr>
          <w:t xml:space="preserve">1.4. Сохраняемые фильтры</w:t>
        </w:r>
      </w:hyperlink>
    </w:p>
    <w:p>
      <w:pPr>
        <w:pStyle w:val="Compact"/>
        <w:numPr>
          <w:numId w:val="1002"/>
          <w:ilvl w:val="1"/>
        </w:numPr>
      </w:pPr>
      <w:hyperlink w:anchor="guide.xhtml#id5">
        <w:r>
          <w:rPr>
            <w:rStyle w:val="Hyperlink"/>
          </w:rPr>
          <w:t xml:space="preserve">1.5. Создание контакта</w:t>
        </w:r>
      </w:hyperlink>
    </w:p>
    <w:p>
      <w:pPr>
        <w:pStyle w:val="Compact"/>
        <w:numPr>
          <w:numId w:val="1002"/>
          <w:ilvl w:val="1"/>
        </w:numPr>
      </w:pPr>
      <w:hyperlink w:anchor="guide.xhtml#id6">
        <w:r>
          <w:rPr>
            <w:rStyle w:val="Hyperlink"/>
          </w:rPr>
          <w:t xml:space="preserve">1.6. Создание организации</w:t>
        </w:r>
      </w:hyperlink>
    </w:p>
    <w:p>
      <w:pPr>
        <w:pStyle w:val="Compact"/>
        <w:numPr>
          <w:numId w:val="1002"/>
          <w:ilvl w:val="1"/>
        </w:numPr>
      </w:pPr>
      <w:hyperlink w:anchor="guide.xhtml#id7">
        <w:r>
          <w:rPr>
            <w:rStyle w:val="Hyperlink"/>
          </w:rPr>
          <w:t xml:space="preserve">1.7. Создание лида</w:t>
        </w:r>
      </w:hyperlink>
    </w:p>
    <w:p>
      <w:pPr>
        <w:pStyle w:val="Compact"/>
        <w:numPr>
          <w:numId w:val="1002"/>
          <w:ilvl w:val="1"/>
        </w:numPr>
      </w:pPr>
      <w:hyperlink w:anchor="guide.xhtml#id8">
        <w:r>
          <w:rPr>
            <w:rStyle w:val="Hyperlink"/>
          </w:rPr>
          <w:t xml:space="preserve">1.8. Конвертация лида в сделку</w:t>
        </w:r>
      </w:hyperlink>
    </w:p>
    <w:p>
      <w:pPr>
        <w:pStyle w:val="Compact"/>
        <w:numPr>
          <w:numId w:val="1002"/>
          <w:ilvl w:val="1"/>
        </w:numPr>
      </w:pPr>
      <w:hyperlink w:anchor="guide.xhtml#id9">
        <w:r>
          <w:rPr>
            <w:rStyle w:val="Hyperlink"/>
          </w:rPr>
          <w:t xml:space="preserve">1.9. Создание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10">
        <w:r>
          <w:rPr>
            <w:rStyle w:val="Hyperlink"/>
          </w:rPr>
          <w:t xml:space="preserve">1.10. Смена стадии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11">
        <w:r>
          <w:rPr>
            <w:rStyle w:val="Hyperlink"/>
          </w:rPr>
          <w:t xml:space="preserve">1.11. Конвертация сделки в договор</w:t>
        </w:r>
      </w:hyperlink>
    </w:p>
    <w:p>
      <w:pPr>
        <w:pStyle w:val="Compact"/>
        <w:numPr>
          <w:numId w:val="1002"/>
          <w:ilvl w:val="1"/>
        </w:numPr>
      </w:pPr>
      <w:hyperlink w:anchor="guide.xhtml#id12">
        <w:r>
          <w:rPr>
            <w:rStyle w:val="Hyperlink"/>
          </w:rPr>
          <w:t xml:space="preserve">1.12. Массовые действия: назначение менеджера и удаление записи</w:t>
        </w:r>
      </w:hyperlink>
    </w:p>
    <w:p>
      <w:pPr>
        <w:pStyle w:val="Compact"/>
        <w:numPr>
          <w:numId w:val="1002"/>
          <w:ilvl w:val="1"/>
        </w:numPr>
      </w:pPr>
      <w:hyperlink w:anchor="guide.xhtml#id13">
        <w:r>
          <w:rPr>
            <w:rStyle w:val="Hyperlink"/>
          </w:rPr>
          <w:t xml:space="preserve">1.13. Выгрузка</w:t>
        </w:r>
      </w:hyperlink>
    </w:p>
    <w:p>
      <w:pPr>
        <w:pStyle w:val="Compact"/>
        <w:numPr>
          <w:numId w:val="1002"/>
          <w:ilvl w:val="1"/>
        </w:numPr>
      </w:pPr>
      <w:hyperlink w:anchor="guide.xhtml#id14">
        <w:r>
          <w:rPr>
            <w:rStyle w:val="Hyperlink"/>
          </w:rPr>
          <w:t xml:space="preserve">1.14. Справочники</w:t>
        </w:r>
      </w:hyperlink>
    </w:p>
    <w:p>
      <w:pPr>
        <w:pStyle w:val="Compact"/>
        <w:numPr>
          <w:numId w:val="1002"/>
          <w:ilvl w:val="1"/>
        </w:numPr>
      </w:pPr>
      <w:hyperlink w:anchor="guide.xhtml#id15">
        <w:r>
          <w:rPr>
            <w:rStyle w:val="Hyperlink"/>
          </w:rPr>
          <w:t xml:space="preserve">1.15. Календарь</w:t>
        </w:r>
      </w:hyperlink>
    </w:p>
    <w:p>
      <w:pPr>
        <w:pStyle w:val="Compact"/>
        <w:numPr>
          <w:numId w:val="1002"/>
          <w:ilvl w:val="1"/>
        </w:numPr>
      </w:pPr>
      <w:hyperlink w:anchor="guide.xhtml#id16">
        <w:r>
          <w:rPr>
            <w:rStyle w:val="Hyperlink"/>
          </w:rPr>
          <w:t xml:space="preserve">1.16. Задачи в календаре</w:t>
        </w:r>
      </w:hyperlink>
    </w:p>
    <w:p>
      <w:pPr>
        <w:pStyle w:val="Compact"/>
        <w:numPr>
          <w:numId w:val="1002"/>
          <w:ilvl w:val="1"/>
        </w:numPr>
      </w:pPr>
      <w:hyperlink w:anchor="guide.xhtml#id17">
        <w:r>
          <w:rPr>
            <w:rStyle w:val="Hyperlink"/>
          </w:rPr>
          <w:t xml:space="preserve">1.17. Уведомления по задачам</w:t>
        </w:r>
      </w:hyperlink>
    </w:p>
    <w:p>
      <w:pPr>
        <w:pStyle w:val="Compact"/>
        <w:numPr>
          <w:numId w:val="1001"/>
          <w:ilvl w:val="0"/>
        </w:numPr>
      </w:pPr>
      <w:hyperlink w:anchor="description.xhtml">
        <w:r>
          <w:rPr>
            <w:rStyle w:val="Hyperlink"/>
          </w:rPr>
          <w:t xml:space="preserve">2. Описание компонентов Synergy Customers</w:t>
        </w:r>
      </w:hyperlink>
    </w:p>
    <w:p>
      <w:pPr>
        <w:pStyle w:val="Compact"/>
        <w:numPr>
          <w:numId w:val="1003"/>
          <w:ilvl w:val="1"/>
        </w:numPr>
      </w:pPr>
      <w:hyperlink w:anchor="description.xhtml#id1">
        <w:r>
          <w:rPr>
            <w:rStyle w:val="Hyperlink"/>
          </w:rPr>
          <w:t xml:space="preserve">2.1. Рекомендации по настройке форм</w:t>
        </w:r>
      </w:hyperlink>
    </w:p>
    <w:p>
      <w:pPr>
        <w:pStyle w:val="Compact"/>
        <w:numPr>
          <w:numId w:val="1003"/>
          <w:ilvl w:val="1"/>
        </w:numPr>
      </w:pPr>
      <w:hyperlink w:anchor="description.xhtml#c">
        <w:r>
          <w:rPr>
            <w:rStyle w:val="Hyperlink"/>
          </w:rPr>
          <w:t xml:space="preserve">2.2. Cправочник «Стадии сделки»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5">
        <w:r>
          <w:rPr>
            <w:rStyle w:val="Hyperlink"/>
          </w:rPr>
          <w:t xml:space="preserve">2.3. Cправочник «Стадии договора»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7">
        <w:r>
          <w:rPr>
            <w:rStyle w:val="Hyperlink"/>
          </w:rPr>
          <w:t xml:space="preserve">2.4. Cправочник «Стадии лида»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8">
        <w:r>
          <w:rPr>
            <w:rStyle w:val="Hyperlink"/>
          </w:rPr>
          <w:t xml:space="preserve">2.5. Импорт данных</w:t>
        </w:r>
      </w:hyperlink>
    </w:p>
    <w:p>
      <w:pPr>
        <w:pStyle w:val="Compact"/>
        <w:numPr>
          <w:numId w:val="1001"/>
          <w:ilvl w:val="0"/>
        </w:numPr>
      </w:pPr>
      <w:hyperlink w:anchor="faq.xhtml">
        <w:r>
          <w:rPr>
            <w:rStyle w:val="Hyperlink"/>
          </w:rPr>
          <w:t xml:space="preserve">3. Настройка и кастомизация Synergy Customers</w:t>
        </w:r>
      </w:hyperlink>
    </w:p>
    <w:p>
      <w:pPr>
        <w:pStyle w:val="Compact"/>
        <w:numPr>
          <w:numId w:val="1004"/>
          <w:ilvl w:val="1"/>
        </w:numPr>
      </w:pPr>
      <w:hyperlink w:anchor="faq.xhtml#id1">
        <w:r>
          <w:rPr>
            <w:rStyle w:val="Hyperlink"/>
          </w:rPr>
          <w:t xml:space="preserve">3.1. Можно ли изменить дизайн продукта?</w:t>
        </w:r>
      </w:hyperlink>
    </w:p>
    <w:p>
      <w:pPr>
        <w:pStyle w:val="Compact"/>
        <w:numPr>
          <w:numId w:val="1004"/>
          <w:ilvl w:val="1"/>
        </w:numPr>
      </w:pPr>
      <w:hyperlink w:anchor="faq.xhtml#url">
        <w:r>
          <w:rPr>
            <w:rStyle w:val="Hyperlink"/>
          </w:rPr>
          <w:t xml:space="preserve">3.2. Как изменить URL-адрес приложения?</w:t>
        </w:r>
      </w:hyperlink>
    </w:p>
    <w:p>
      <w:pPr>
        <w:pStyle w:val="Compact"/>
        <w:numPr>
          <w:numId w:val="1004"/>
          <w:ilvl w:val="1"/>
        </w:numPr>
      </w:pPr>
      <w:hyperlink w:anchor="faq.xhtml#id3">
        <w:r>
          <w:rPr>
            <w:rStyle w:val="Hyperlink"/>
          </w:rPr>
          <w:t xml:space="preserve">3.3. Как изменить поля в карточках?</w:t>
        </w:r>
      </w:hyperlink>
    </w:p>
    <w:p>
      <w:pPr>
        <w:pStyle w:val="Compact"/>
        <w:numPr>
          <w:numId w:val="1004"/>
          <w:ilvl w:val="1"/>
        </w:numPr>
      </w:pPr>
      <w:hyperlink w:anchor="faq.xhtml#id5">
        <w:r>
          <w:rPr>
            <w:rStyle w:val="Hyperlink"/>
          </w:rPr>
          <w:t xml:space="preserve">3.4. Как изменить стадии сделки?</w:t>
        </w:r>
      </w:hyperlink>
    </w:p>
    <w:p>
      <w:pPr>
        <w:pStyle w:val="Compact"/>
        <w:numPr>
          <w:numId w:val="1004"/>
          <w:ilvl w:val="1"/>
        </w:numPr>
      </w:pPr>
      <w:hyperlink w:anchor="faq.xhtml#id7">
        <w:r>
          <w:rPr>
            <w:rStyle w:val="Hyperlink"/>
          </w:rPr>
          <w:t xml:space="preserve">3.5. Как изменить стадии договора?</w:t>
        </w:r>
      </w:hyperlink>
    </w:p>
    <w:p>
      <w:pPr>
        <w:pStyle w:val="Compact"/>
        <w:numPr>
          <w:numId w:val="1004"/>
          <w:ilvl w:val="1"/>
        </w:numPr>
      </w:pPr>
      <w:hyperlink w:anchor="faq.xhtml#id9">
        <w:r>
          <w:rPr>
            <w:rStyle w:val="Hyperlink"/>
          </w:rPr>
          <w:t xml:space="preserve">3.6. Как изменить стадии лида?</w:t>
        </w:r>
      </w:hyperlink>
    </w:p>
    <w:bookmarkEnd w:id="21"/>
    <w:p>
      <w:pPr>
        <w:pStyle w:val="FirstParagraph"/>
      </w:pPr>
      <w:bookmarkStart w:id="22" w:name="guide.xhtml"/>
      <w:bookmarkEnd w:id="22"/>
    </w:p>
    <w:bookmarkStart w:id="84" w:name="guide.xhtml#synergy-customers"/>
    <w:p>
      <w:pPr>
        <w:pStyle w:val="Heading1"/>
      </w:pPr>
      <w:r>
        <w:t xml:space="preserve">1. Описание Synergy Customers</w:t>
      </w:r>
    </w:p>
    <w:bookmarkStart w:id="25" w:name="guide.xhtml#id1"/>
    <w:p>
      <w:pPr>
        <w:pStyle w:val="Heading2"/>
      </w:pPr>
      <w:r>
        <w:t xml:space="preserve">1.1. Главная страница</w:t>
      </w:r>
    </w:p>
    <w:p>
      <w:pPr>
        <w:pStyle w:val="FirstParagraph"/>
      </w:pPr>
      <w:r>
        <w:t xml:space="preserve">На главной странице Synergy Customers расположен одиз из основных элементов продукта -</w:t>
      </w:r>
      <w:r>
        <w:t xml:space="preserve"> </w:t>
      </w:r>
      <w:r>
        <w:rPr>
          <w:b/>
        </w:rPr>
        <w:t xml:space="preserve">Канбан-доска</w:t>
      </w:r>
      <w:r>
        <w:t xml:space="preserve">. Канбан-доска позволяет наглядно представить элементы Customers в разбивке по статусам. Элементы доски содержат необходимую информацию - сумму, ФИО ответственного менеджера, ссылки на контакт и организацию.</w:t>
      </w:r>
    </w:p>
    <w:p>
      <w:pPr>
        <w:pStyle w:val="BodyText"/>
      </w:pPr>
      <w:r>
        <w:t xml:space="preserve">В заголовке столбца содержится информация о количестве элементов и сумма по столбцу.</w:t>
      </w:r>
    </w:p>
    <w:p>
      <w:pPr>
        <w:pStyle w:val="BodyText"/>
      </w:pPr>
      <w:r>
        <w:t xml:space="preserve">На левой панели расположены разделы Synergy Customers:</w:t>
      </w:r>
    </w:p>
    <w:p>
      <w:pPr>
        <w:numPr>
          <w:numId w:val="1005"/>
          <w:ilvl w:val="0"/>
        </w:numPr>
      </w:pPr>
      <w:r>
        <w:t xml:space="preserve">Контакты (список)</w:t>
      </w:r>
    </w:p>
    <w:p>
      <w:pPr>
        <w:numPr>
          <w:numId w:val="1005"/>
          <w:ilvl w:val="0"/>
        </w:numPr>
      </w:pPr>
      <w:r>
        <w:t xml:space="preserve">Организации (список)</w:t>
      </w:r>
    </w:p>
    <w:p>
      <w:pPr>
        <w:numPr>
          <w:numId w:val="1005"/>
          <w:ilvl w:val="0"/>
        </w:numPr>
      </w:pPr>
      <w:r>
        <w:t xml:space="preserve">Лиды (Канбан-доска)</w:t>
      </w:r>
    </w:p>
    <w:p>
      <w:pPr>
        <w:numPr>
          <w:numId w:val="1005"/>
          <w:ilvl w:val="0"/>
        </w:numPr>
      </w:pPr>
      <w:r>
        <w:t xml:space="preserve">Сделки (Канбан-доска)</w:t>
      </w:r>
    </w:p>
    <w:p>
      <w:pPr>
        <w:numPr>
          <w:numId w:val="1005"/>
          <w:ilvl w:val="0"/>
        </w:numPr>
      </w:pPr>
      <w:r>
        <w:t xml:space="preserve">Активности (список)</w:t>
      </w:r>
    </w:p>
    <w:p>
      <w:pPr>
        <w:numPr>
          <w:numId w:val="1005"/>
          <w:ilvl w:val="0"/>
        </w:numPr>
      </w:pPr>
      <w:r>
        <w:t xml:space="preserve">Договоры (список)</w:t>
      </w:r>
    </w:p>
    <w:p>
      <w:pPr>
        <w:numPr>
          <w:numId w:val="1005"/>
          <w:ilvl w:val="0"/>
        </w:numPr>
      </w:pPr>
      <w:r>
        <w:t xml:space="preserve">Календарь (календарь задач)</w:t>
      </w:r>
    </w:p>
    <w:p>
      <w:pPr>
        <w:pStyle w:val="FirstParagraph"/>
      </w:pPr>
      <w:r>
        <w:t xml:space="preserve">При необходимости боковую панель можно свернуть/развернуть.</w:t>
      </w:r>
    </w:p>
    <w:bookmarkStart w:id="24" w:name="guide.xhtml#id18"/>
    <w:p>
      <w:pPr>
        <w:pStyle w:val="Compact"/>
      </w:pPr>
      <w:r>
        <w:drawing>
          <wp:inline>
            <wp:extent cx="5334000" cy="3066026"/>
            <wp:effectExtent b="0" l="0" r="0" t="0"/>
            <wp:docPr descr="_images/Customers_3.5_-_deals_tst.png" title="" id="1" name="Picture"/>
            <a:graphic>
              <a:graphicData uri="http://schemas.openxmlformats.org/drawingml/2006/picture">
                <pic:pic>
                  <pic:nvPicPr>
                    <pic:cNvPr descr="_images/Customers_3.5_-_deals_t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60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</w:t>
      </w:r>
    </w:p>
    <w:bookmarkEnd w:id="24"/>
    <w:bookmarkEnd w:id="25"/>
    <w:bookmarkStart w:id="28" w:name="guide.xhtml#id2"/>
    <w:p>
      <w:pPr>
        <w:pStyle w:val="Heading2"/>
      </w:pPr>
      <w:r>
        <w:t xml:space="preserve">1.2. Фильтры реестра</w:t>
      </w:r>
    </w:p>
    <w:p>
      <w:pPr>
        <w:pStyle w:val="FirstParagraph"/>
      </w:pPr>
      <w:r>
        <w:t xml:space="preserve">При наличии в выбранном разделе доступных пользователю фильтров соответствующего реестра - выбор фильтров будет отображаться слева от поисковой строки.</w:t>
      </w:r>
    </w:p>
    <w:p>
      <w:pPr>
        <w:pStyle w:val="BodyText"/>
      </w:pPr>
      <w:r>
        <w:t xml:space="preserve">По умолчанию отображается верхний доступный фильтр.</w:t>
      </w:r>
    </w:p>
    <w:bookmarkStart w:id="27" w:name="guide.xhtml#id19"/>
    <w:p>
      <w:pPr>
        <w:pStyle w:val="Compact"/>
      </w:pPr>
      <w:r>
        <w:drawing>
          <wp:inline>
            <wp:extent cx="5334000" cy="3316295"/>
            <wp:effectExtent b="0" l="0" r="0" t="0"/>
            <wp:docPr descr="_images/3.1.regFilters.png" title="" id="1" name="Picture"/>
            <a:graphic>
              <a:graphicData uri="http://schemas.openxmlformats.org/drawingml/2006/picture">
                <pic:pic>
                  <pic:nvPicPr>
                    <pic:cNvPr descr="_images/3.1.reg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6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</w:t>
      </w:r>
    </w:p>
    <w:bookmarkEnd w:id="27"/>
    <w:bookmarkEnd w:id="28"/>
    <w:bookmarkStart w:id="31" w:name="guide.xhtml#id3"/>
    <w:p>
      <w:pPr>
        <w:pStyle w:val="Heading2"/>
      </w:pPr>
      <w:r>
        <w:t xml:space="preserve">1.3. Расширенный поиск</w:t>
      </w:r>
    </w:p>
    <w:p>
      <w:pPr>
        <w:pStyle w:val="FirstParagraph"/>
      </w:pPr>
      <w:r>
        <w:t xml:space="preserve">Расширенный поиск с выбором условий доступен по нажатию на пиктограмму справа от поисковой строки.</w:t>
      </w:r>
    </w:p>
    <w:p>
      <w:pPr>
        <w:pStyle w:val="BodyText"/>
      </w:pPr>
      <w:r>
        <w:t xml:space="preserve">На открывшейся панели есть возможность добавить/удалить условия фильтрации по тем полям формы (например, с кодом поля</w:t>
      </w:r>
      <w:r>
        <w:t xml:space="preserve"> </w:t>
      </w:r>
      <w:r>
        <w:rPr>
          <w:i/>
        </w:rPr>
        <w:t xml:space="preserve">field</w:t>
      </w:r>
      <w:r>
        <w:t xml:space="preserve">), для которых есть соотвествующее поле с типом неизменяемый текст и с кодом поля</w:t>
      </w:r>
      <w:r>
        <w:t xml:space="preserve"> </w:t>
      </w:r>
      <w:r>
        <w:rPr>
          <w:i/>
        </w:rPr>
        <w:t xml:space="preserve">fieldLabel</w:t>
      </w:r>
      <w:r>
        <w:t xml:space="preserve">.</w:t>
      </w:r>
    </w:p>
    <w:bookmarkStart w:id="30" w:name="guide.xhtml#id20"/>
    <w:p>
      <w:pPr>
        <w:pStyle w:val="Compact"/>
      </w:pPr>
      <w:r>
        <w:drawing>
          <wp:inline>
            <wp:extent cx="5334000" cy="2632073"/>
            <wp:effectExtent b="0" l="0" r="0" t="0"/>
            <wp:docPr descr="_images/3.1.extraFilters.png" title="" id="1" name="Picture"/>
            <a:graphic>
              <a:graphicData uri="http://schemas.openxmlformats.org/drawingml/2006/picture">
                <pic:pic>
                  <pic:nvPicPr>
                    <pic:cNvPr descr="_images/3.1.extra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2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3</w:t>
      </w:r>
    </w:p>
    <w:bookmarkEnd w:id="30"/>
    <w:bookmarkEnd w:id="31"/>
    <w:bookmarkStart w:id="40" w:name="guide.xhtml#id4"/>
    <w:p>
      <w:pPr>
        <w:pStyle w:val="Heading2"/>
      </w:pPr>
      <w:r>
        <w:t xml:space="preserve">1.4. Сохраняемые фильтры</w:t>
      </w:r>
    </w:p>
    <w:p>
      <w:pPr>
        <w:pStyle w:val="FirstParagraph"/>
      </w:pPr>
      <w:r>
        <w:t xml:space="preserve">На панели расширенного поиска доступно создание, сохранение, удаление фильтров по заданным пользователем условиям.</w:t>
      </w:r>
    </w:p>
    <w:p>
      <w:pPr>
        <w:numPr>
          <w:numId w:val="1006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создания</w:t>
      </w:r>
      <w:r>
        <w:t xml:space="preserve"> </w:t>
      </w:r>
      <w:r>
        <w:t xml:space="preserve">фильтра нужно выбрать условия, задать название фильтра и нажать пиктограмму сохранения</w:t>
      </w:r>
    </w:p>
    <w:bookmarkStart w:id="33" w:name="guide.xhtml#id21"/>
    <w:p>
      <w:pPr>
        <w:pStyle w:val="Compact"/>
      </w:pPr>
      <w:r>
        <w:drawing>
          <wp:inline>
            <wp:extent cx="5334000" cy="3514825"/>
            <wp:effectExtent b="0" l="0" r="0" t="0"/>
            <wp:docPr descr="_images/filter_cr_save.png" title="" id="1" name="Picture"/>
            <a:graphic>
              <a:graphicData uri="http://schemas.openxmlformats.org/drawingml/2006/picture">
                <pic:pic>
                  <pic:nvPicPr>
                    <pic:cNvPr descr="_images/filter_cr_sa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4 Создание и редактирование фильтра</w:t>
      </w:r>
    </w:p>
    <w:bookmarkEnd w:id="33"/>
    <w:p>
      <w:pPr>
        <w:numPr>
          <w:numId w:val="1007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редактирования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доступных, добавить/удалить нужные условия и нажать пиктограмму сохранения</w:t>
      </w:r>
    </w:p>
    <w:bookmarkStart w:id="35" w:name="guide.xhtml#id22"/>
    <w:p>
      <w:pPr>
        <w:pStyle w:val="Compact"/>
      </w:pPr>
      <w:r>
        <w:drawing>
          <wp:inline>
            <wp:extent cx="5334000" cy="3523582"/>
            <wp:effectExtent b="0" l="0" r="0" t="0"/>
            <wp:docPr descr="_images/saved.png" title="" id="1" name="Picture"/>
            <a:graphic>
              <a:graphicData uri="http://schemas.openxmlformats.org/drawingml/2006/picture">
                <pic:pic>
                  <pic:nvPicPr>
                    <pic:cNvPr descr="_images/sav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3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5 Выбор/поиск по сохраненным фильтрам</w:t>
      </w:r>
    </w:p>
    <w:bookmarkEnd w:id="35"/>
    <w:p>
      <w:pPr>
        <w:numPr>
          <w:numId w:val="1008"/>
          <w:ilvl w:val="0"/>
        </w:numPr>
      </w:pPr>
      <w:r>
        <w:t xml:space="preserve">Для того, чтобы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фильтр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- откроется модальное окно, в котором нужно выбрать пользователя и нажать</w:t>
      </w:r>
      <w:r>
        <w:t xml:space="preserve"> </w:t>
      </w:r>
      <w:r>
        <w:rPr>
          <w:b/>
        </w:rPr>
        <w:t xml:space="preserve">Выбрать</w:t>
      </w:r>
      <w:r>
        <w:t xml:space="preserve">.</w:t>
      </w:r>
    </w:p>
    <w:bookmarkStart w:id="37" w:name="guide.xhtml#id23"/>
    <w:p>
      <w:pPr>
        <w:pStyle w:val="Compact"/>
      </w:pPr>
      <w:r>
        <w:drawing>
          <wp:inline>
            <wp:extent cx="5334000" cy="3356586"/>
            <wp:effectExtent b="0" l="0" r="0" t="0"/>
            <wp:docPr descr="_images/share.png" title="" id="1" name="Picture"/>
            <a:graphic>
              <a:graphicData uri="http://schemas.openxmlformats.org/drawingml/2006/picture">
                <pic:pic>
                  <pic:nvPicPr>
                    <pic:cNvPr descr="_images/sh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6 Передача фильтра</w:t>
      </w:r>
    </w:p>
    <w:bookmarkEnd w:id="37"/>
    <w:p>
      <w:pPr>
        <w:numPr>
          <w:numId w:val="1009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удаления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 удаления - корзину.</w:t>
      </w:r>
    </w:p>
    <w:bookmarkStart w:id="39" w:name="guide.xhtml#id24"/>
    <w:p>
      <w:pPr>
        <w:pStyle w:val="Compact"/>
      </w:pPr>
      <w:r>
        <w:drawing>
          <wp:inline>
            <wp:extent cx="5334000" cy="3686324"/>
            <wp:effectExtent b="0" l="0" r="0" t="0"/>
            <wp:docPr descr="_images/deleting.png" title="" id="1" name="Picture"/>
            <a:graphic>
              <a:graphicData uri="http://schemas.openxmlformats.org/drawingml/2006/picture">
                <pic:pic>
                  <pic:nvPicPr>
                    <pic:cNvPr descr="_images/dele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7 Удаление фильтра</w:t>
      </w:r>
    </w:p>
    <w:bookmarkEnd w:id="39"/>
    <w:bookmarkEnd w:id="40"/>
    <w:bookmarkStart w:id="41" w:name="guide.xhtml#id5"/>
    <w:p>
      <w:pPr>
        <w:pStyle w:val="Heading2"/>
      </w:pPr>
      <w:r>
        <w:t xml:space="preserve">1.5. Создание контакта</w:t>
      </w:r>
    </w:p>
    <w:p>
      <w:pPr>
        <w:pStyle w:val="FirstParagraph"/>
      </w:pPr>
      <w:r>
        <w:t xml:space="preserve">Создать новую карточку контакта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0"/>
          <w:ilvl w:val="0"/>
        </w:numPr>
      </w:pPr>
      <w:r>
        <w:t xml:space="preserve">из раздела «Контакты»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0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numPr>
          <w:numId w:val="1010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pStyle w:val="FirstParagraph"/>
      </w:pPr>
      <w:r>
        <w:t xml:space="preserve">Система отобразит список совпадений по ФИО и/или ИИН контакта, при</w:t>
      </w:r>
      <w:r>
        <w:t xml:space="preserve"> </w:t>
      </w:r>
      <w:r>
        <w:t xml:space="preserve">наличии. Наличие совпадений не ограничивает создание карточки.</w:t>
      </w:r>
    </w:p>
    <w:bookmarkEnd w:id="41"/>
    <w:bookmarkStart w:id="42" w:name="guide.xhtml#id6"/>
    <w:p>
      <w:pPr>
        <w:pStyle w:val="Heading2"/>
      </w:pPr>
      <w:r>
        <w:t xml:space="preserve">1.6. Создание организации</w:t>
      </w:r>
    </w:p>
    <w:p>
      <w:pPr>
        <w:pStyle w:val="FirstParagraph"/>
      </w:pPr>
      <w:r>
        <w:t xml:space="preserve">Создать новую карточку организации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1"/>
          <w:ilvl w:val="0"/>
        </w:numPr>
      </w:pPr>
      <w:r>
        <w:t xml:space="preserve">из раздела «Организации»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1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«Организация»;</w:t>
      </w:r>
    </w:p>
    <w:p>
      <w:pPr>
        <w:numPr>
          <w:numId w:val="1011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numPr>
          <w:numId w:val="1011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pStyle w:val="FirstParagraph"/>
      </w:pPr>
      <w:r>
        <w:t xml:space="preserve">Система отобразит список совпадений по наименованию и/или БИН организации,</w:t>
      </w:r>
      <w:r>
        <w:t xml:space="preserve"> </w:t>
      </w:r>
      <w:r>
        <w:t xml:space="preserve">при наличии. Наличие совпадений не ограничивает создание карточки.</w:t>
      </w:r>
    </w:p>
    <w:bookmarkEnd w:id="42"/>
    <w:bookmarkStart w:id="45" w:name="guide.xhtml#id7"/>
    <w:p>
      <w:pPr>
        <w:pStyle w:val="Heading2"/>
      </w:pPr>
      <w:r>
        <w:t xml:space="preserve">1.7. Создание лида</w:t>
      </w:r>
    </w:p>
    <w:p>
      <w:pPr>
        <w:pStyle w:val="FirstParagraph"/>
      </w:pPr>
      <w:r>
        <w:t xml:space="preserve">Создать карточку лида можно в разделе Лид,</w:t>
      </w:r>
      <w:r>
        <w:t xml:space="preserve"> </w:t>
      </w:r>
      <w:r>
        <w:t xml:space="preserve">нажав на кнопку</w:t>
      </w:r>
      <w:r>
        <w:t xml:space="preserve"> </w:t>
      </w:r>
      <w:r>
        <w:rPr>
          <w:rStyle w:val="VerbatimChar"/>
        </w:rPr>
        <w:t xml:space="preserve">+ Создать</w:t>
      </w:r>
    </w:p>
    <w:bookmarkStart w:id="44" w:name="guide.xhtml#id25"/>
    <w:p>
      <w:pPr>
        <w:pStyle w:val="Compact"/>
      </w:pPr>
      <w:r>
        <w:drawing>
          <wp:inline>
            <wp:extent cx="5334000" cy="2906431"/>
            <wp:effectExtent b="0" l="0" r="0" t="0"/>
            <wp:docPr descr="_images/Customers_3.0_-_leads.png" title="" id="1" name="Picture"/>
            <a:graphic>
              <a:graphicData uri="http://schemas.openxmlformats.org/drawingml/2006/picture">
                <pic:pic>
                  <pic:nvPicPr>
                    <pic:cNvPr descr="_images/Customers_3.0_-_lead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64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8</w:t>
      </w:r>
    </w:p>
    <w:bookmarkEnd w:id="44"/>
    <w:bookmarkEnd w:id="45"/>
    <w:bookmarkStart w:id="48" w:name="guide.xhtml#id8"/>
    <w:p>
      <w:pPr>
        <w:pStyle w:val="Heading2"/>
      </w:pPr>
      <w:r>
        <w:t xml:space="preserve">1.8. Конвертация лида в сделку</w:t>
      </w:r>
    </w:p>
    <w:p>
      <w:pPr>
        <w:pStyle w:val="FirstParagraph"/>
      </w:pPr>
      <w:r>
        <w:t xml:space="preserve">При смене стадии лида в конечную положительную стадию («В сделку») происходит создание записи сделки с копированием полей:</w:t>
      </w:r>
    </w:p>
    <w:p>
      <w:pPr>
        <w:numPr>
          <w:numId w:val="1012"/>
          <w:ilvl w:val="0"/>
        </w:numPr>
      </w:pPr>
      <w:r>
        <w:t xml:space="preserve">ссылка на лид;</w:t>
      </w:r>
    </w:p>
    <w:p>
      <w:pPr>
        <w:numPr>
          <w:numId w:val="1012"/>
          <w:ilvl w:val="0"/>
        </w:numPr>
      </w:pPr>
      <w:r>
        <w:t xml:space="preserve">БИН;</w:t>
      </w:r>
    </w:p>
    <w:p>
      <w:pPr>
        <w:numPr>
          <w:numId w:val="1012"/>
          <w:ilvl w:val="0"/>
        </w:numPr>
      </w:pPr>
      <w:r>
        <w:t xml:space="preserve">контакт;</w:t>
      </w:r>
    </w:p>
    <w:p>
      <w:pPr>
        <w:numPr>
          <w:numId w:val="1012"/>
          <w:ilvl w:val="0"/>
        </w:numPr>
      </w:pPr>
      <w:r>
        <w:t xml:space="preserve">тема сотрудиничества;</w:t>
      </w:r>
    </w:p>
    <w:p>
      <w:pPr>
        <w:numPr>
          <w:numId w:val="1012"/>
          <w:ilvl w:val="0"/>
        </w:numPr>
      </w:pPr>
      <w:r>
        <w:t xml:space="preserve">бюджет.</w:t>
      </w:r>
    </w:p>
    <w:p>
      <w:pPr>
        <w:pStyle w:val="FirstParagraph"/>
      </w:pPr>
      <w:r>
        <w:t xml:space="preserve">Если в канбане лидов попытаться перетащить лид из конечной стадии (например, из стадии «В сделку» или «Некачественный лид»), то потребуется подтвердить действие.</w:t>
      </w:r>
    </w:p>
    <w:bookmarkStart w:id="47" w:name="guide.xhtml#id26"/>
    <w:p>
      <w:pPr>
        <w:pStyle w:val="Compact"/>
      </w:pPr>
      <w:r>
        <w:drawing>
          <wp:inline>
            <wp:extent cx="5334000" cy="2832623"/>
            <wp:effectExtent b="0" l="0" r="0" t="0"/>
            <wp:docPr descr="_images/lead-deal-converting.png" title="" id="1" name="Picture"/>
            <a:graphic>
              <a:graphicData uri="http://schemas.openxmlformats.org/drawingml/2006/picture">
                <pic:pic>
                  <pic:nvPicPr>
                    <pic:cNvPr descr="_images/lead-deal-conver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2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9</w:t>
      </w:r>
    </w:p>
    <w:bookmarkEnd w:id="47"/>
    <w:bookmarkEnd w:id="48"/>
    <w:bookmarkStart w:id="49" w:name="guide.xhtml#id9"/>
    <w:p>
      <w:pPr>
        <w:pStyle w:val="Heading2"/>
      </w:pPr>
      <w:r>
        <w:t xml:space="preserve">1.9. Создание сделки</w:t>
      </w:r>
    </w:p>
    <w:p>
      <w:pPr>
        <w:pStyle w:val="FirstParagraph"/>
      </w:pPr>
      <w:r>
        <w:t xml:space="preserve">Создать новую карточку сделки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3"/>
          <w:ilvl w:val="0"/>
        </w:numPr>
      </w:pPr>
      <w:r>
        <w:t xml:space="preserve">из раздела «Сделки»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3"/>
          <w:ilvl w:val="0"/>
        </w:numPr>
      </w:pPr>
      <w:r>
        <w:t xml:space="preserve">из действующей карточки Организации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данной организации;</w:t>
      </w:r>
    </w:p>
    <w:p>
      <w:pPr>
        <w:numPr>
          <w:numId w:val="1013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данного контакта и</w:t>
      </w:r>
      <w:r>
        <w:t xml:space="preserve"> </w:t>
      </w:r>
      <w:r>
        <w:t xml:space="preserve">связанной с ним Организации.</w:t>
      </w:r>
    </w:p>
    <w:bookmarkEnd w:id="49"/>
    <w:bookmarkStart w:id="50" w:name="guide.xhtml#id10"/>
    <w:p>
      <w:pPr>
        <w:pStyle w:val="Heading2"/>
      </w:pPr>
      <w:r>
        <w:t xml:space="preserve">1.10. Смена стадии сделки</w:t>
      </w:r>
    </w:p>
    <w:p>
      <w:pPr>
        <w:pStyle w:val="FirstParagraph"/>
      </w:pPr>
      <w:r>
        <w:t xml:space="preserve">Сменить стадию сделки в Synergy Customers можно несколькими способами:</w:t>
      </w:r>
    </w:p>
    <w:p>
      <w:pPr>
        <w:numPr>
          <w:numId w:val="1014"/>
          <w:ilvl w:val="0"/>
        </w:numPr>
      </w:pPr>
      <w:r>
        <w:t xml:space="preserve">из карточки Сделки, выбрав нужную стадию в поле «Стадия»;</w:t>
      </w:r>
    </w:p>
    <w:p>
      <w:pPr>
        <w:numPr>
          <w:numId w:val="1014"/>
          <w:ilvl w:val="0"/>
        </w:numPr>
      </w:pPr>
      <w:r>
        <w:t xml:space="preserve">в разделе Сделки перемещением плашки Сделки из стадии А в стадию Б;</w:t>
      </w:r>
    </w:p>
    <w:bookmarkEnd w:id="50"/>
    <w:bookmarkStart w:id="53" w:name="guide.xhtml#id11"/>
    <w:p>
      <w:pPr>
        <w:pStyle w:val="Heading2"/>
      </w:pPr>
      <w:r>
        <w:t xml:space="preserve">1.11. Конвертация сделки в договор</w:t>
      </w:r>
    </w:p>
    <w:p>
      <w:pPr>
        <w:pStyle w:val="FirstParagraph"/>
      </w:pPr>
      <w:r>
        <w:t xml:space="preserve">При смене стадии сделки в конечную положительную стадию («В договор») происходит создание записи договора с копированием полей:</w:t>
      </w:r>
    </w:p>
    <w:p>
      <w:pPr>
        <w:numPr>
          <w:numId w:val="1015"/>
          <w:ilvl w:val="0"/>
        </w:numPr>
      </w:pPr>
      <w:r>
        <w:t xml:space="preserve">ссылка на сделку;</w:t>
      </w:r>
    </w:p>
    <w:p>
      <w:pPr>
        <w:numPr>
          <w:numId w:val="1015"/>
          <w:ilvl w:val="0"/>
        </w:numPr>
      </w:pPr>
      <w:r>
        <w:t xml:space="preserve">БИН;</w:t>
      </w:r>
    </w:p>
    <w:p>
      <w:pPr>
        <w:numPr>
          <w:numId w:val="1015"/>
          <w:ilvl w:val="0"/>
        </w:numPr>
      </w:pPr>
      <w:r>
        <w:t xml:space="preserve">тема сотрудиничества;</w:t>
      </w:r>
    </w:p>
    <w:p>
      <w:pPr>
        <w:numPr>
          <w:numId w:val="1015"/>
          <w:ilvl w:val="0"/>
        </w:numPr>
      </w:pPr>
      <w:r>
        <w:t xml:space="preserve">бюджет.</w:t>
      </w:r>
    </w:p>
    <w:p>
      <w:pPr>
        <w:pStyle w:val="FirstParagraph"/>
      </w:pPr>
      <w:r>
        <w:t xml:space="preserve">Если в канбане сделок попытаться перетащить сделку из конечной стадии (например, из стадии «В договор» или «Отказ»), то потребуется подтвердить действие.</w:t>
      </w:r>
    </w:p>
    <w:bookmarkStart w:id="52" w:name="guide.xhtml#id27"/>
    <w:p>
      <w:pPr>
        <w:pStyle w:val="Compact"/>
      </w:pPr>
      <w:r>
        <w:drawing>
          <wp:inline>
            <wp:extent cx="5334000" cy="2600325"/>
            <wp:effectExtent b="0" l="0" r="0" t="0"/>
            <wp:docPr descr="_images/deal-contract.png" title="" id="1" name="Picture"/>
            <a:graphic>
              <a:graphicData uri="http://schemas.openxmlformats.org/drawingml/2006/picture">
                <pic:pic>
                  <pic:nvPicPr>
                    <pic:cNvPr descr="_images/deal-contrac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10</w:t>
      </w:r>
    </w:p>
    <w:bookmarkEnd w:id="52"/>
    <w:bookmarkEnd w:id="53"/>
    <w:bookmarkStart w:id="58" w:name="guide.xhtml#id12"/>
    <w:p>
      <w:pPr>
        <w:pStyle w:val="Heading2"/>
      </w:pPr>
      <w:r>
        <w:t xml:space="preserve">1.12. Массовые действия: назначение менеджера и удаление записи</w:t>
      </w:r>
    </w:p>
    <w:p>
      <w:pPr>
        <w:pStyle w:val="FirstParagraph"/>
      </w:pPr>
      <w:r>
        <w:t xml:space="preserve">В разделах Контакты, Организации, Сделки и Лиды доступны массовые действия с выделенными записями: назначение ответственного менеджера и удаление записи.</w:t>
      </w:r>
    </w:p>
    <w:p>
      <w:pPr>
        <w:pStyle w:val="BodyText"/>
      </w:pPr>
      <w:r>
        <w:t xml:space="preserve">Для массового действия необходимо галочкой отметить нужные записи, нажать на меню</w:t>
      </w:r>
      <w:r>
        <w:t xml:space="preserve"> </w:t>
      </w:r>
      <w:r>
        <w:rPr>
          <w:rStyle w:val="VerbatimChar"/>
        </w:rPr>
        <w:t xml:space="preserve">Действия</w:t>
      </w:r>
      <w:r>
        <w:t xml:space="preserve"> </w:t>
      </w:r>
      <w:r>
        <w:t xml:space="preserve">и выбрать</w:t>
      </w:r>
      <w:r>
        <w:t xml:space="preserve"> </w:t>
      </w:r>
      <w:r>
        <w:rPr>
          <w:rStyle w:val="VerbatimChar"/>
        </w:rPr>
        <w:t xml:space="preserve">Назначить</w:t>
      </w:r>
      <w:r>
        <w:t xml:space="preserve"> </w:t>
      </w:r>
      <w:r>
        <w:t xml:space="preserve">- для выбора ответственного менеджера, или</w:t>
      </w:r>
      <w:r>
        <w:t xml:space="preserve"> </w:t>
      </w:r>
      <w:r>
        <w:rPr>
          <w:rStyle w:val="VerbatimChar"/>
        </w:rPr>
        <w:t xml:space="preserve">Удалить</w:t>
      </w:r>
      <w:r>
        <w:t xml:space="preserve"> </w:t>
      </w:r>
      <w:r>
        <w:t xml:space="preserve">- для удаления выделенных записей.</w:t>
      </w:r>
    </w:p>
    <w:bookmarkStart w:id="55" w:name="guide.xhtml#id28"/>
    <w:p>
      <w:pPr>
        <w:pStyle w:val="Compact"/>
      </w:pPr>
      <w:r>
        <w:drawing>
          <wp:inline>
            <wp:extent cx="5334000" cy="1944687"/>
            <wp:effectExtent b="0" l="0" r="0" t="0"/>
            <wp:docPr descr="_images/appoint_del.png" title="" id="1" name="Picture"/>
            <a:graphic>
              <a:graphicData uri="http://schemas.openxmlformats.org/drawingml/2006/picture">
                <pic:pic>
                  <pic:nvPicPr>
                    <pic:cNvPr descr="_images/appoint_d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44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11 массовое действие в списочном разделе</w:t>
      </w:r>
    </w:p>
    <w:bookmarkEnd w:id="55"/>
    <w:bookmarkStart w:id="57" w:name="guide.xhtml#id29"/>
    <w:p>
      <w:pPr>
        <w:pStyle w:val="Compact"/>
      </w:pPr>
      <w:r>
        <w:drawing>
          <wp:inline>
            <wp:extent cx="5334000" cy="2187080"/>
            <wp:effectExtent b="0" l="0" r="0" t="0"/>
            <wp:docPr descr="_images/appoint_del_kanban.png" title="" id="1" name="Picture"/>
            <a:graphic>
              <a:graphicData uri="http://schemas.openxmlformats.org/drawingml/2006/picture">
                <pic:pic>
                  <pic:nvPicPr>
                    <pic:cNvPr descr="_images/appoint_del_kanba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12 массовое действие в канбан-разделе</w:t>
      </w:r>
    </w:p>
    <w:bookmarkEnd w:id="57"/>
    <w:bookmarkEnd w:id="58"/>
    <w:bookmarkStart w:id="61" w:name="guide.xhtml#id13"/>
    <w:p>
      <w:pPr>
        <w:pStyle w:val="Heading2"/>
      </w:pPr>
      <w:r>
        <w:t xml:space="preserve">1.13. Выгрузка</w:t>
      </w:r>
    </w:p>
    <w:p>
      <w:pPr>
        <w:pStyle w:val="FirstParagraph"/>
      </w:pPr>
      <w:r>
        <w:t xml:space="preserve">Выгрузка данных доступна в разделах списках: Контакты, Организации, Договоры, Активности. Для того, чтобы выгрузить данные всего раздела или отфильтрованную выборку, нужно нажать кнопку</w:t>
      </w:r>
      <w:r>
        <w:t xml:space="preserve"> </w:t>
      </w:r>
      <w:r>
        <w:rPr>
          <w:b/>
        </w:rPr>
        <w:t xml:space="preserve">Выгрузить</w:t>
      </w:r>
      <w:r>
        <w:t xml:space="preserve"> </w:t>
      </w:r>
      <w:r>
        <w:t xml:space="preserve">на верхней панели и подтвердить нажатием «Да» в модальном окне.</w:t>
      </w:r>
    </w:p>
    <w:bookmarkStart w:id="60" w:name="guide.xhtml#id30"/>
    <w:p>
      <w:pPr>
        <w:pStyle w:val="Compact"/>
      </w:pPr>
      <w:r>
        <w:drawing>
          <wp:inline>
            <wp:extent cx="5334000" cy="2515377"/>
            <wp:effectExtent b="0" l="0" r="0" t="0"/>
            <wp:docPr descr="_images/exporting3.4.1.png" title="" id="1" name="Picture"/>
            <a:graphic>
              <a:graphicData uri="http://schemas.openxmlformats.org/drawingml/2006/picture">
                <pic:pic>
                  <pic:nvPicPr>
                    <pic:cNvPr descr="_images/exporting3.4.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5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13 выгрузка</w:t>
      </w:r>
    </w:p>
    <w:bookmarkEnd w:id="60"/>
    <w:bookmarkEnd w:id="61"/>
    <w:bookmarkStart w:id="66" w:name="guide.xhtml#id14"/>
    <w:p>
      <w:pPr>
        <w:pStyle w:val="Heading2"/>
      </w:pPr>
      <w:r>
        <w:t xml:space="preserve">1.14. Справочники</w:t>
      </w:r>
    </w:p>
    <w:p>
      <w:pPr>
        <w:pStyle w:val="FirstParagraph"/>
      </w:pPr>
      <w:r>
        <w:t xml:space="preserve">В разделе (доступ ограничен по группе пользователей) есть возможность добавлять/удалять и редактировать записи справочных реестров.</w:t>
      </w:r>
    </w:p>
    <w:bookmarkStart w:id="63" w:name="guide.xhtml#id31"/>
    <w:p>
      <w:pPr>
        <w:pStyle w:val="Compact"/>
      </w:pPr>
      <w:r>
        <w:drawing>
          <wp:inline>
            <wp:extent cx="5334000" cy="2630884"/>
            <wp:effectExtent b="0" l="0" r="0" t="0"/>
            <wp:docPr descr="_images/main-3.2.png" title="" id="1" name="Picture"/>
            <a:graphic>
              <a:graphicData uri="http://schemas.openxmlformats.org/drawingml/2006/picture">
                <pic:pic>
                  <pic:nvPicPr>
                    <pic:cNvPr descr="_images/main-3.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0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14</w:t>
      </w:r>
    </w:p>
    <w:bookmarkEnd w:id="63"/>
    <w:p>
      <w:pPr>
        <w:pStyle w:val="BodyText"/>
      </w:pPr>
      <w:r>
        <w:t xml:space="preserve">При переходе в раздел на левой панели отображены справочники, а в основной области - их записи. По клику правой кнопкой на записи открывается контекстное меню с возможностью открытия, просмотра информации и удаления записи (при наличии прав).</w:t>
      </w:r>
    </w:p>
    <w:p>
      <w:pPr>
        <w:pStyle w:val="BodyText"/>
      </w:pPr>
      <w:r>
        <w:t xml:space="preserve">На верхней панели расположены кнопки</w:t>
      </w:r>
      <w:r>
        <w:t xml:space="preserve"> </w:t>
      </w:r>
      <w:r>
        <w:rPr>
          <w:b/>
        </w:rPr>
        <w:t xml:space="preserve">Назад</w:t>
      </w:r>
      <w:r>
        <w:t xml:space="preserve"> </w:t>
      </w:r>
      <w:r>
        <w:t xml:space="preserve">- возврат на главную страницу,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- создание записи в выбранном справочнике и</w:t>
      </w:r>
      <w:r>
        <w:t xml:space="preserve"> </w:t>
      </w:r>
      <w:r>
        <w:rPr>
          <w:b/>
        </w:rPr>
        <w:t xml:space="preserve">Обновить</w:t>
      </w:r>
      <w:r>
        <w:t xml:space="preserve"> </w:t>
      </w:r>
      <w:r>
        <w:t xml:space="preserve">- обновление данных.</w:t>
      </w:r>
    </w:p>
    <w:p>
      <w:pPr>
        <w:pStyle w:val="BodyText"/>
      </w:pPr>
      <w:r>
        <w:t xml:space="preserve">По клику запись открывается для просмотра - с возможностью перейти в режим редактирования и сохранить данные.</w:t>
      </w:r>
    </w:p>
    <w:bookmarkStart w:id="65" w:name="guide.xhtml#id32"/>
    <w:p>
      <w:pPr>
        <w:pStyle w:val="Compact"/>
      </w:pPr>
      <w:r>
        <w:drawing>
          <wp:inline>
            <wp:extent cx="5334000" cy="2619771"/>
            <wp:effectExtent b="0" l="0" r="0" t="0"/>
            <wp:docPr descr="_images/dicts-regs.png" title="" id="1" name="Picture"/>
            <a:graphic>
              <a:graphicData uri="http://schemas.openxmlformats.org/drawingml/2006/picture">
                <pic:pic>
                  <pic:nvPicPr>
                    <pic:cNvPr descr="_images/dicts-re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15 Раздел Справочники</w:t>
      </w:r>
    </w:p>
    <w:bookmarkEnd w:id="65"/>
    <w:bookmarkEnd w:id="66"/>
    <w:bookmarkStart w:id="73" w:name="guide.xhtml#id15"/>
    <w:p>
      <w:pPr>
        <w:pStyle w:val="Heading2"/>
      </w:pPr>
      <w:r>
        <w:t xml:space="preserve">1.15. Календарь</w:t>
      </w:r>
    </w:p>
    <w:p>
      <w:pPr>
        <w:pStyle w:val="FirstParagraph"/>
      </w:pPr>
      <w:r>
        <w:rPr>
          <w:b/>
        </w:rPr>
        <w:t xml:space="preserve">Календарь</w:t>
      </w:r>
      <w:r>
        <w:t xml:space="preserve"> </w:t>
      </w:r>
      <w:r>
        <w:t xml:space="preserve">в Customers - это специальный раздел для планирования оперативных дел и поручений.</w:t>
      </w:r>
    </w:p>
    <w:p>
      <w:pPr>
        <w:pStyle w:val="BodyText"/>
      </w:pPr>
      <w:r>
        <w:t xml:space="preserve">Раздел</w:t>
      </w:r>
      <w:r>
        <w:t xml:space="preserve"> </w:t>
      </w:r>
      <w:r>
        <w:rPr>
          <w:b/>
        </w:rPr>
        <w:t xml:space="preserve">Календарь</w:t>
      </w:r>
      <w:r>
        <w:t xml:space="preserve"> </w:t>
      </w:r>
      <w:r>
        <w:t xml:space="preserve">состоит из верхней панели, основной области и правой панели. На верхней панели отображается выбранный период, расположены кнопки переключения режима календаря (день, неделя, месяц) и кнопки навигации назад и вперед в выбранном режиме. В основной области отображаются задачи в зависимости от выбранного режима. На правой панели расположен виджет выбора даты и задачи за выбранный период списком.</w:t>
      </w:r>
    </w:p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День</w:t>
      </w:r>
      <w:r>
        <w:t xml:space="preserve"> </w:t>
      </w:r>
      <w:r>
        <w:t xml:space="preserve">календарь отображает задачи выбранного дня, при этом завершенные задачи отмечены зеленым, просроченные - красным:</w:t>
      </w:r>
    </w:p>
    <w:bookmarkStart w:id="68" w:name="guide.xhtml#id33"/>
    <w:p>
      <w:pPr>
        <w:pStyle w:val="Compact"/>
      </w:pPr>
      <w:r>
        <w:drawing>
          <wp:inline>
            <wp:extent cx="5334000" cy="2621137"/>
            <wp:effectExtent b="0" l="0" r="0" t="0"/>
            <wp:docPr descr="_images/Calendar_main_day.png" title="" id="1" name="Picture"/>
            <a:graphic>
              <a:graphicData uri="http://schemas.openxmlformats.org/drawingml/2006/picture">
                <pic:pic>
                  <pic:nvPicPr>
                    <pic:cNvPr descr="_images/Calendar_main_da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1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16 Раздел Календарь - День</w:t>
      </w:r>
    </w:p>
    <w:bookmarkEnd w:id="68"/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Неделя</w:t>
      </w:r>
      <w:r>
        <w:t xml:space="preserve"> </w:t>
      </w:r>
      <w:r>
        <w:t xml:space="preserve">календарь отображает задачи выбранной недели. Если выбранная неделя содержит текущий день, то его название и дата выделены синим. Число слева от названия дня означает количество задач. В этом режиме день можно свернуть и развернуть для просмотра задач. На правой панели списком отображены все задачи недели:</w:t>
      </w:r>
    </w:p>
    <w:bookmarkStart w:id="70" w:name="guide.xhtml#id34"/>
    <w:p>
      <w:pPr>
        <w:pStyle w:val="Compact"/>
      </w:pPr>
      <w:r>
        <w:drawing>
          <wp:inline>
            <wp:extent cx="5334000" cy="2603103"/>
            <wp:effectExtent b="0" l="0" r="0" t="0"/>
            <wp:docPr descr="_images/Calendar_main_week.png" title="" id="1" name="Picture"/>
            <a:graphic>
              <a:graphicData uri="http://schemas.openxmlformats.org/drawingml/2006/picture">
                <pic:pic>
                  <pic:nvPicPr>
                    <pic:cNvPr descr="_images/Calendar_main_wee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17 Раздел Календарь - Неделя</w:t>
      </w:r>
    </w:p>
    <w:bookmarkEnd w:id="70"/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Месяц</w:t>
      </w:r>
      <w:r>
        <w:t xml:space="preserve"> </w:t>
      </w:r>
      <w:r>
        <w:t xml:space="preserve">календарь отображает ячейки выбранного месяца. Если выбранный месяц содержит текущий день, то эта дата выделена синим. Число в углу ячейки обозначает количество задач в этот день. При выборе определенного дня на правой панели отображаются подробности по задачам:</w:t>
      </w:r>
    </w:p>
    <w:bookmarkStart w:id="72" w:name="guide.xhtml#id35"/>
    <w:p>
      <w:pPr>
        <w:pStyle w:val="Compact"/>
      </w:pPr>
      <w:r>
        <w:drawing>
          <wp:inline>
            <wp:extent cx="5334000" cy="2605881"/>
            <wp:effectExtent b="0" l="0" r="0" t="0"/>
            <wp:docPr descr="_images/Calendar_main_month.png" title="" id="1" name="Picture"/>
            <a:graphic>
              <a:graphicData uri="http://schemas.openxmlformats.org/drawingml/2006/picture">
                <pic:pic>
                  <pic:nvPicPr>
                    <pic:cNvPr descr="_images/Calendar_main_mont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18 Раздел Календарь - Месяц</w:t>
      </w:r>
    </w:p>
    <w:bookmarkEnd w:id="72"/>
    <w:p>
      <w:pPr>
        <w:pStyle w:val="BodyText"/>
      </w:pPr>
      <w:r>
        <w:t xml:space="preserve">В</w:t>
      </w:r>
      <w:r>
        <w:t xml:space="preserve"> </w:t>
      </w:r>
      <w:r>
        <w:rPr>
          <w:b/>
        </w:rPr>
        <w:t xml:space="preserve">Календаре</w:t>
      </w:r>
      <w:r>
        <w:t xml:space="preserve"> </w:t>
      </w:r>
      <w:r>
        <w:t xml:space="preserve">в правой части строки задачи / плашки задачи на правой панели имеются кнопки просмотра подробностей и удаления задачи.</w:t>
      </w:r>
    </w:p>
    <w:bookmarkEnd w:id="73"/>
    <w:bookmarkStart w:id="80" w:name="guide.xhtml#id16"/>
    <w:p>
      <w:pPr>
        <w:pStyle w:val="Heading2"/>
      </w:pPr>
      <w:r>
        <w:t xml:space="preserve">1.16. Задачи в календаре</w:t>
      </w:r>
    </w:p>
    <w:p>
      <w:pPr>
        <w:pStyle w:val="FirstParagraph"/>
      </w:pPr>
      <w:r>
        <w:t xml:space="preserve">При нажатии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открывается окно создания задачи со следующими полями:</w:t>
      </w:r>
    </w:p>
    <w:p>
      <w:pPr>
        <w:numPr>
          <w:numId w:val="1016"/>
          <w:ilvl w:val="0"/>
        </w:numPr>
      </w:pPr>
      <w:r>
        <w:t xml:space="preserve">дата и время начала, время завершения задачи,</w:t>
      </w:r>
    </w:p>
    <w:p>
      <w:pPr>
        <w:numPr>
          <w:numId w:val="1016"/>
          <w:ilvl w:val="0"/>
        </w:numPr>
      </w:pPr>
      <w:r>
        <w:t xml:space="preserve">комментарий описания,</w:t>
      </w:r>
    </w:p>
    <w:p>
      <w:pPr>
        <w:numPr>
          <w:numId w:val="1016"/>
          <w:ilvl w:val="0"/>
        </w:numPr>
      </w:pPr>
      <w:r>
        <w:t xml:space="preserve">действие (звонок, почта, встреча,…) - выпадающий список,</w:t>
      </w:r>
    </w:p>
    <w:p>
      <w:pPr>
        <w:numPr>
          <w:numId w:val="1016"/>
          <w:ilvl w:val="0"/>
        </w:numPr>
      </w:pPr>
      <w:r>
        <w:t xml:space="preserve">файл,</w:t>
      </w:r>
    </w:p>
    <w:p>
      <w:pPr>
        <w:numPr>
          <w:numId w:val="1016"/>
          <w:ilvl w:val="0"/>
        </w:numPr>
      </w:pPr>
      <w:r>
        <w:t xml:space="preserve">ссылки на контакт и организацию,</w:t>
      </w:r>
    </w:p>
    <w:p>
      <w:pPr>
        <w:numPr>
          <w:numId w:val="1016"/>
          <w:ilvl w:val="0"/>
        </w:numPr>
      </w:pPr>
      <w:r>
        <w:t xml:space="preserve">автор (нередактируемое),</w:t>
      </w:r>
    </w:p>
    <w:p>
      <w:pPr>
        <w:numPr>
          <w:numId w:val="1016"/>
          <w:ilvl w:val="0"/>
        </w:numPr>
      </w:pPr>
      <w:r>
        <w:t xml:space="preserve">подразделение автора (если состоит в нескольких подразделениях),</w:t>
      </w:r>
    </w:p>
    <w:p>
      <w:pPr>
        <w:numPr>
          <w:numId w:val="1016"/>
          <w:ilvl w:val="0"/>
        </w:numPr>
      </w:pPr>
      <w:r>
        <w:t xml:space="preserve">ответственный.</w:t>
      </w:r>
    </w:p>
    <w:p>
      <w:pPr>
        <w:pStyle w:val="FirstParagraph"/>
      </w:pPr>
      <w:r>
        <w:t xml:space="preserve">Для завершения задачи нужно отметить галочку в чекбоксе и подтвердить действие в модальном окне.</w:t>
      </w:r>
    </w:p>
    <w:bookmarkStart w:id="75" w:name="guide.xhtml#id36"/>
    <w:p>
      <w:pPr>
        <w:pStyle w:val="Compact"/>
      </w:pPr>
      <w:r>
        <w:drawing>
          <wp:inline>
            <wp:extent cx="5334000" cy="3241829"/>
            <wp:effectExtent b="0" l="0" r="0" t="0"/>
            <wp:docPr descr="_images/task_creating.png" title="" id="1" name="Picture"/>
            <a:graphic>
              <a:graphicData uri="http://schemas.openxmlformats.org/drawingml/2006/picture">
                <pic:pic>
                  <pic:nvPicPr>
                    <pic:cNvPr descr="_images/task_crea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1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19 Создание задачи</w:t>
      </w:r>
    </w:p>
    <w:bookmarkEnd w:id="75"/>
    <w:p>
      <w:pPr>
        <w:pStyle w:val="BodyText"/>
      </w:pPr>
      <w:r>
        <w:t xml:space="preserve">Если ответственным по задаче/поручению указать подчиненного - задача отобразится в его календаре. Для просмотра таких поручений, нужно выбрать подчиненного (или нескольких) в поле выбора пользователя на верхней панели.</w:t>
      </w:r>
    </w:p>
    <w:bookmarkStart w:id="77" w:name="guide.xhtml#id37"/>
    <w:p>
      <w:pPr>
        <w:pStyle w:val="Compact"/>
      </w:pPr>
      <w:r>
        <w:drawing>
          <wp:inline>
            <wp:extent cx="5334000" cy="3702559"/>
            <wp:effectExtent b="0" l="0" r="0" t="0"/>
            <wp:docPr descr="_images/suborditane_task_view3.6.png" title="" id="1" name="Picture"/>
            <a:graphic>
              <a:graphicData uri="http://schemas.openxmlformats.org/drawingml/2006/picture">
                <pic:pic>
                  <pic:nvPicPr>
                    <pic:cNvPr descr="_images/suborditane_task_view3.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2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20 Просмотр задач подчиненного</w:t>
      </w:r>
    </w:p>
    <w:bookmarkEnd w:id="77"/>
    <w:bookmarkStart w:id="79" w:name="guide.xhtml#id38"/>
    <w:p>
      <w:pPr>
        <w:pStyle w:val="Compact"/>
      </w:pPr>
      <w:r>
        <w:drawing>
          <wp:inline>
            <wp:extent cx="5334000" cy="3714956"/>
            <wp:effectExtent b="0" l="0" r="0" t="0"/>
            <wp:docPr descr="_images/task_view.png" title="" id="1" name="Picture"/>
            <a:graphic>
              <a:graphicData uri="http://schemas.openxmlformats.org/drawingml/2006/picture">
                <pic:pic>
                  <pic:nvPicPr>
                    <pic:cNvPr descr="_images/task_vie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49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21 Просмотр задачи</w:t>
      </w:r>
    </w:p>
    <w:bookmarkEnd w:id="79"/>
    <w:p>
      <w:pPr>
        <w:pStyle w:val="BodyText"/>
      </w:pPr>
      <w:r>
        <w:t xml:space="preserve">В окне просмотра подробностей задачи есть возможность завершить задачу, или перейти в режим редактирования и сделать изменения в задаче.</w:t>
      </w:r>
    </w:p>
    <w:bookmarkEnd w:id="80"/>
    <w:bookmarkStart w:id="83" w:name="guide.xhtml#id17"/>
    <w:p>
      <w:pPr>
        <w:pStyle w:val="Heading2"/>
      </w:pPr>
      <w:r>
        <w:t xml:space="preserve">1.17. Уведомления по задачам</w:t>
      </w:r>
    </w:p>
    <w:p>
      <w:pPr>
        <w:pStyle w:val="FirstParagraph"/>
      </w:pPr>
      <w:r>
        <w:t xml:space="preserve">Если при создании задачи отметить галочкой поле</w:t>
      </w:r>
      <w:r>
        <w:t xml:space="preserve"> </w:t>
      </w:r>
      <w:r>
        <w:rPr>
          <w:i/>
        </w:rPr>
        <w:t xml:space="preserve">Напомнить (в минутах)</w:t>
      </w:r>
      <w:r>
        <w:t xml:space="preserve">, то при наступлении нужного времени в браузере во вкладке customers будет показано уведомление о приближайщейся задаче. Также первое появление уведомления по задаче будет сопровождено звуковым сигналом.</w:t>
      </w:r>
      <w:r>
        <w:t xml:space="preserve"> </w:t>
      </w:r>
      <w:r>
        <w:t xml:space="preserve">Нажатие крестика временно скроет уведомление (по умолчанию обновление уведомлений происходит раз в минуту).</w:t>
      </w:r>
      <w:r>
        <w:t xml:space="preserve"> </w:t>
      </w:r>
      <w:r>
        <w:t xml:space="preserve">При нажатии кнопки</w:t>
      </w:r>
      <w:r>
        <w:t xml:space="preserve"> </w:t>
      </w:r>
      <w:r>
        <w:rPr>
          <w:b/>
        </w:rPr>
        <w:t xml:space="preserve">Отложить</w:t>
      </w:r>
      <w:r>
        <w:t xml:space="preserve"> </w:t>
      </w:r>
      <w:r>
        <w:t xml:space="preserve">уведомление пропадет и появится через 15 минут от текущего момента - и соответственно будет изменено время начала и завершения задачи.</w:t>
      </w:r>
    </w:p>
    <w:p>
      <w:pPr>
        <w:pStyle w:val="BodyText"/>
      </w:pPr>
      <w:r>
        <w:t xml:space="preserve">Если уведомлений больше трех, то оставшееся количество будет показано ниже - на появившейся панели уведомлений.</w:t>
      </w:r>
    </w:p>
    <w:bookmarkStart w:id="82" w:name="guide.xhtml#id39"/>
    <w:p>
      <w:pPr>
        <w:pStyle w:val="Compact"/>
      </w:pPr>
      <w:r>
        <w:drawing>
          <wp:inline>
            <wp:extent cx="5334000" cy="3721484"/>
            <wp:effectExtent b="0" l="0" r="0" t="0"/>
            <wp:docPr descr="_images/push_notification.png" title="" id="1" name="Picture"/>
            <a:graphic>
              <a:graphicData uri="http://schemas.openxmlformats.org/drawingml/2006/picture">
                <pic:pic>
                  <pic:nvPicPr>
                    <pic:cNvPr descr="_images/push_notific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1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22 Уведомления</w:t>
      </w:r>
    </w:p>
    <w:bookmarkEnd w:id="82"/>
    <w:bookmarkEnd w:id="83"/>
    <w:bookmarkEnd w:id="84"/>
    <w:p>
      <w:pPr>
        <w:pStyle w:val="BodyText"/>
      </w:pPr>
      <w:bookmarkStart w:id="85" w:name="description.xhtml"/>
      <w:bookmarkEnd w:id="85"/>
    </w:p>
    <w:bookmarkStart w:id="95" w:name="description.xhtml#synergy-customers"/>
    <w:p>
      <w:pPr>
        <w:pStyle w:val="Heading1"/>
      </w:pPr>
      <w:r>
        <w:t xml:space="preserve">2. Описание компонентов Synergy Customers</w:t>
      </w:r>
    </w:p>
    <w:bookmarkStart w:id="88" w:name="description.xhtml#id1"/>
    <w:p>
      <w:pPr>
        <w:pStyle w:val="Heading2"/>
      </w:pPr>
      <w:r>
        <w:t xml:space="preserve">2.1. Рекомендации по настройке форм</w:t>
      </w:r>
    </w:p>
    <w:p>
      <w:pPr>
        <w:pStyle w:val="FirstParagraph"/>
      </w:pPr>
      <w:r>
        <w:t xml:space="preserve">Общее описание редактора форм, компонентов и их свойств приведено в</w:t>
      </w:r>
      <w:r>
        <w:t xml:space="preserve"> </w:t>
      </w:r>
      <w:hyperlink r:id="rId86">
        <w:r>
          <w:rPr>
            <w:rStyle w:val="Hyperlink"/>
          </w:rPr>
          <w:t xml:space="preserve">спецификации на платформу</w:t>
        </w:r>
      </w:hyperlink>
      <w:r>
        <w:t xml:space="preserve"> </w:t>
      </w:r>
      <w:r>
        <w:t xml:space="preserve">[http://tdd.lan.arta.kz/docs/synergy/tags/minsky/spec/html/sec.conf_forms.html]</w:t>
      </w:r>
      <w:r>
        <w:t xml:space="preserve">.</w:t>
      </w:r>
    </w:p>
    <w:p>
      <w:pPr>
        <w:pStyle w:val="BodyText"/>
      </w:pPr>
      <w:r>
        <w:t xml:space="preserve">Ниже приведены правила и рекомендации к настройке формы для</w:t>
      </w:r>
      <w:r>
        <w:t xml:space="preserve"> </w:t>
      </w:r>
      <w:r>
        <w:t xml:space="preserve">того, чтобы у пользователей был одинаковый опыт их использования</w:t>
      </w:r>
      <w:r>
        <w:t xml:space="preserve"> </w:t>
      </w:r>
      <w:r>
        <w:t xml:space="preserve">как с экранов мониторов, так и с мобильных устройств.</w:t>
      </w:r>
    </w:p>
    <w:p>
      <w:pPr>
        <w:numPr>
          <w:numId w:val="1017"/>
          <w:ilvl w:val="0"/>
        </w:numPr>
      </w:pPr>
      <w:r>
        <w:t xml:space="preserve">Создавайте вертикально-ориентированные формы:</w:t>
      </w:r>
    </w:p>
    <w:p>
      <w:pPr>
        <w:numPr>
          <w:numId w:val="1018"/>
          <w:ilvl w:val="1"/>
        </w:numPr>
      </w:pPr>
      <w:r>
        <w:t xml:space="preserve">группируйте поля в таблицы;</w:t>
      </w:r>
    </w:p>
    <w:p>
      <w:pPr>
        <w:numPr>
          <w:numId w:val="1018"/>
          <w:ilvl w:val="1"/>
        </w:numPr>
      </w:pPr>
      <w:r>
        <w:t xml:space="preserve">добавляйте не более 2 компонентов на одну строку;</w:t>
      </w:r>
    </w:p>
    <w:p>
      <w:pPr>
        <w:numPr>
          <w:numId w:val="1018"/>
          <w:ilvl w:val="1"/>
        </w:numPr>
      </w:pPr>
      <w:r>
        <w:t xml:space="preserve">добавляйте заголовок (подпись) над компонентом.</w:t>
      </w:r>
    </w:p>
    <w:p>
      <w:pPr>
        <w:numPr>
          <w:numId w:val="1017"/>
          <w:ilvl w:val="0"/>
        </w:numPr>
      </w:pPr>
      <w:r>
        <w:t xml:space="preserve">Настройте единый вид всей формы, используя:</w:t>
      </w:r>
    </w:p>
    <w:p>
      <w:pPr>
        <w:numPr>
          <w:numId w:val="1019"/>
          <w:ilvl w:val="1"/>
        </w:numPr>
      </w:pPr>
      <w:r>
        <w:t xml:space="preserve">единый шрифт и размер текста;</w:t>
      </w:r>
    </w:p>
    <w:p>
      <w:pPr>
        <w:numPr>
          <w:numId w:val="1019"/>
          <w:ilvl w:val="1"/>
        </w:numPr>
      </w:pPr>
      <w:r>
        <w:t xml:space="preserve">отступы как от края формы, так и между компонентами:</w:t>
      </w:r>
    </w:p>
    <w:p>
      <w:pPr>
        <w:numPr>
          <w:numId w:val="1020"/>
          <w:ilvl w:val="2"/>
        </w:numPr>
      </w:pPr>
      <w:r>
        <w:t xml:space="preserve">относительные (в %) горизонтальные отступы;</w:t>
      </w:r>
    </w:p>
    <w:p>
      <w:pPr>
        <w:numPr>
          <w:numId w:val="1020"/>
          <w:ilvl w:val="2"/>
        </w:numPr>
      </w:pPr>
      <w:r>
        <w:t xml:space="preserve">абсолютные (в пикселях) вертикальные отступы;</w:t>
      </w:r>
    </w:p>
    <w:p>
      <w:pPr>
        <w:numPr>
          <w:numId w:val="1017"/>
          <w:ilvl w:val="0"/>
        </w:numPr>
      </w:pPr>
      <w:r>
        <w:t xml:space="preserve">Ответственно подойдите к именованию компонентов:</w:t>
      </w:r>
    </w:p>
    <w:p>
      <w:pPr>
        <w:numPr>
          <w:numId w:val="1021"/>
          <w:ilvl w:val="1"/>
        </w:numPr>
      </w:pPr>
      <w:r>
        <w:t xml:space="preserve">имя компонента должно явно описывать его суть;</w:t>
      </w:r>
    </w:p>
    <w:p>
      <w:pPr>
        <w:numPr>
          <w:numId w:val="1021"/>
          <w:ilvl w:val="1"/>
        </w:numPr>
      </w:pPr>
      <w:r>
        <w:t xml:space="preserve">имя заголовка (подписи) должно содержать в себе имя</w:t>
      </w:r>
      <w:r>
        <w:t xml:space="preserve"> </w:t>
      </w:r>
      <w:r>
        <w:t xml:space="preserve">связанного с ним компонента + суффикс</w:t>
      </w:r>
      <w:r>
        <w:t xml:space="preserve"> </w:t>
      </w:r>
      <w:r>
        <w:rPr>
          <w:rStyle w:val="VerbatimChar"/>
        </w:rPr>
        <w:t xml:space="preserve">Label</w:t>
      </w:r>
      <w:r>
        <w:t xml:space="preserve">.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Компонент для ввода БИН организации лучше назвать</w:t>
      </w:r>
      <w:r>
        <w:t xml:space="preserve"> </w:t>
      </w:r>
      <w:r>
        <w:rPr>
          <w:rStyle w:val="VerbatimChar"/>
        </w:rPr>
        <w:t xml:space="preserve">crm_form_account_main_bin</w:t>
      </w:r>
      <w:r>
        <w:t xml:space="preserve">, а подпись к такому</w:t>
      </w:r>
      <w:r>
        <w:t xml:space="preserve"> </w:t>
      </w:r>
      <w:r>
        <w:t xml:space="preserve">компоненту -</w:t>
      </w:r>
      <w:r>
        <w:t xml:space="preserve"> </w:t>
      </w:r>
      <w:r>
        <w:rPr>
          <w:rStyle w:val="VerbatimChar"/>
        </w:rPr>
        <w:t xml:space="preserve">crm_form_account_main_binLabel</w:t>
      </w:r>
      <w:r>
        <w:t xml:space="preserve">.</w:t>
      </w:r>
    </w:p>
    <w:p>
      <w:pPr>
        <w:numPr>
          <w:numId w:val="1022"/>
          <w:ilvl w:val="0"/>
        </w:numPr>
      </w:pPr>
      <w:r>
        <w:rPr>
          <w:b/>
        </w:rPr>
        <w:t xml:space="preserve">Скройте</w:t>
      </w:r>
      <w:r>
        <w:t xml:space="preserve"> </w:t>
      </w:r>
      <w:r>
        <w:t xml:space="preserve">ненужные и неиспользуемые компоненты (</w:t>
      </w:r>
      <w:r>
        <w:rPr>
          <w:b/>
        </w:rPr>
        <w:t xml:space="preserve">не удаляйте</w:t>
      </w:r>
      <w:r>
        <w:t xml:space="preserve"> </w:t>
      </w:r>
      <w:r>
        <w:t xml:space="preserve">и перенесите в самый низ формы). Эти компоненты могут</w:t>
      </w:r>
      <w:r>
        <w:t xml:space="preserve"> </w:t>
      </w:r>
      <w:r>
        <w:t xml:space="preserve">использоваться в различных функциях / скриптах. Таким</w:t>
      </w:r>
      <w:r>
        <w:t xml:space="preserve"> </w:t>
      </w:r>
      <w:r>
        <w:t xml:space="preserve">образом вы избавитесь от потенциальных проблем и ошибок в</w:t>
      </w:r>
      <w:r>
        <w:t xml:space="preserve"> </w:t>
      </w:r>
      <w:r>
        <w:t xml:space="preserve">дальнейшем использовании продукта.</w:t>
      </w:r>
    </w:p>
    <w:p>
      <w:pPr>
        <w:pStyle w:val="FirstParagraph"/>
      </w:pPr>
      <w:r>
        <w:t xml:space="preserve">Все формы в продукте настроены с учетом приведенных рекомендаций.</w:t>
      </w:r>
      <w:r>
        <w:t xml:space="preserve"> </w:t>
      </w:r>
      <w:r>
        <w:t xml:space="preserve">Посмотрите, как они сделаны, и изменяйте их в том же ключе.</w:t>
      </w:r>
    </w:p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3"/>
          <w:ilvl w:val="0"/>
        </w:numPr>
      </w:pPr>
      <w:hyperlink r:id="rId87">
        <w:r>
          <w:rPr>
            <w:rStyle w:val="Hyperlink"/>
          </w:rPr>
          <w:t xml:space="preserve">Как изменить поля в карточках?</w:t>
        </w:r>
      </w:hyperlink>
    </w:p>
    <w:bookmarkEnd w:id="88"/>
    <w:bookmarkStart w:id="90" w:name="description.xhtml#c"/>
    <w:p>
      <w:pPr>
        <w:pStyle w:val="Heading2"/>
      </w:pPr>
      <w:r>
        <w:t xml:space="preserve">2.2. Cправочник «Стадии сделки»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заголовке витрины продаж, а также в карточке сделки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4"/>
          <w:ilvl w:val="0"/>
        </w:numPr>
      </w:pPr>
      <w:hyperlink r:id="rId89">
        <w:r>
          <w:rPr>
            <w:rStyle w:val="Hyperlink"/>
          </w:rPr>
          <w:t xml:space="preserve">Как изменить стадии сделки?</w:t>
        </w:r>
      </w:hyperlink>
    </w:p>
    <w:bookmarkEnd w:id="90"/>
    <w:bookmarkStart w:id="92" w:name="description.xhtml#id5"/>
    <w:p>
      <w:pPr>
        <w:pStyle w:val="Heading2"/>
      </w:pPr>
      <w:r>
        <w:t xml:space="preserve">2.3. Cправочник «Стадии договора»</w:t>
      </w:r>
    </w:p>
    <w:p>
      <w:pPr>
        <w:pStyle w:val="TableCaption"/>
      </w:pPr>
      <w:r>
        <w:t xml:space="preserve">Описание справочника «Стадии договора»</w:t>
      </w:r>
    </w:p>
    <w:tbl>
      <w:tblPr>
        <w:tblStyle w:val="Table"/>
        <w:tblW w:type="pct" w:w="5000.0"/>
        <w:tblLook w:firstRow="1"/>
        <w:tblCaption w:val="Описание справочника «Стадии договора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карточке договора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5"/>
          <w:ilvl w:val="0"/>
        </w:numPr>
      </w:pPr>
      <w:hyperlink r:id="rId91">
        <w:r>
          <w:rPr>
            <w:rStyle w:val="Hyperlink"/>
          </w:rPr>
          <w:t xml:space="preserve">Как изменить стадии договора?</w:t>
        </w:r>
      </w:hyperlink>
    </w:p>
    <w:bookmarkEnd w:id="92"/>
    <w:bookmarkStart w:id="93" w:name="description.xhtml#id7"/>
    <w:p>
      <w:pPr>
        <w:pStyle w:val="Heading2"/>
      </w:pPr>
      <w:r>
        <w:t xml:space="preserve">2.4. Cправочник «Стадии лида»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</w:tbl>
    <w:bookmarkEnd w:id="93"/>
    <w:bookmarkStart w:id="94" w:name="description.xhtml#id8"/>
    <w:p>
      <w:pPr>
        <w:pStyle w:val="Heading2"/>
      </w:pPr>
      <w:r>
        <w:t xml:space="preserve">2.5. Импорт данных</w:t>
      </w:r>
    </w:p>
    <w:p>
      <w:pPr>
        <w:pStyle w:val="FirstParagraph"/>
      </w:pPr>
      <w:r>
        <w:t xml:space="preserve">Функция импорта, реализованная в продукте, универсальная и позволяет</w:t>
      </w:r>
      <w:r>
        <w:t xml:space="preserve"> </w:t>
      </w:r>
      <w:r>
        <w:t xml:space="preserve">загружать данные из Excel в любой реестр Synergy.</w:t>
      </w:r>
    </w:p>
    <w:p>
      <w:pPr>
        <w:pStyle w:val="BodyText"/>
      </w:pPr>
      <w:r>
        <w:t xml:space="preserve">Импорт работает со следующими компонентами формы:</w:t>
      </w:r>
    </w:p>
    <w:p>
      <w:pPr>
        <w:numPr>
          <w:numId w:val="1026"/>
          <w:ilvl w:val="0"/>
        </w:numPr>
      </w:pPr>
      <w:r>
        <w:t xml:space="preserve">текстовые однострочные и многострочные поля;</w:t>
      </w:r>
    </w:p>
    <w:p>
      <w:pPr>
        <w:numPr>
          <w:numId w:val="1026"/>
          <w:ilvl w:val="0"/>
        </w:numPr>
      </w:pPr>
      <w:r>
        <w:t xml:space="preserve">числовые поля;</w:t>
      </w:r>
    </w:p>
    <w:p>
      <w:pPr>
        <w:numPr>
          <w:numId w:val="1026"/>
          <w:ilvl w:val="0"/>
        </w:numPr>
      </w:pPr>
      <w:r>
        <w:t xml:space="preserve">дата/время;</w:t>
      </w:r>
    </w:p>
    <w:p>
      <w:pPr>
        <w:numPr>
          <w:numId w:val="1026"/>
          <w:ilvl w:val="0"/>
        </w:numPr>
      </w:pPr>
      <w:r>
        <w:t xml:space="preserve">справочники (выпадающий список, выбор вариантов, переключатель</w:t>
      </w:r>
      <w:r>
        <w:t xml:space="preserve"> </w:t>
      </w:r>
      <w:r>
        <w:t xml:space="preserve">вариантов);</w:t>
      </w:r>
    </w:p>
    <w:p>
      <w:pPr>
        <w:numPr>
          <w:numId w:val="1026"/>
          <w:ilvl w:val="0"/>
        </w:numPr>
      </w:pPr>
      <w:r>
        <w:t xml:space="preserve">ссылка на реестр.</w:t>
      </w:r>
    </w:p>
    <w:p>
      <w:pPr>
        <w:pStyle w:val="FirstParagraph"/>
      </w:pPr>
      <w:r>
        <w:t xml:space="preserve">Требования к файлу Excel:</w:t>
      </w:r>
    </w:p>
    <w:p>
      <w:pPr>
        <w:numPr>
          <w:numId w:val="1027"/>
          <w:ilvl w:val="0"/>
        </w:numPr>
      </w:pPr>
      <w:r>
        <w:t xml:space="preserve">Формат файла: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.</w:t>
      </w:r>
    </w:p>
    <w:p>
      <w:pPr>
        <w:numPr>
          <w:numId w:val="1027"/>
          <w:ilvl w:val="0"/>
        </w:numPr>
      </w:pPr>
      <w:r>
        <w:t xml:space="preserve">Первая строка файла - заголовки; далее - строки для импорта в</w:t>
      </w:r>
      <w:r>
        <w:t xml:space="preserve"> </w:t>
      </w:r>
      <w:r>
        <w:t xml:space="preserve">записи реестра.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1 строка в Excel = 1 запись реестра.</w:t>
      </w:r>
    </w:p>
    <w:p>
      <w:pPr>
        <w:numPr>
          <w:numId w:val="1027"/>
          <w:ilvl w:val="0"/>
        </w:numPr>
      </w:pPr>
      <w:r>
        <w:t xml:space="preserve">Столбцы, которые</w:t>
      </w:r>
      <w:r>
        <w:t xml:space="preserve"> </w:t>
      </w:r>
      <w:r>
        <w:rPr>
          <w:b/>
        </w:rPr>
        <w:t xml:space="preserve">не нужно</w:t>
      </w:r>
      <w:r>
        <w:t xml:space="preserve"> </w:t>
      </w:r>
      <w:r>
        <w:t xml:space="preserve">импортировать обозначить заголовком</w:t>
      </w:r>
      <w:r>
        <w:t xml:space="preserve"> </w:t>
      </w:r>
      <w:r>
        <w:rPr>
          <w:rStyle w:val="VerbatimChar"/>
        </w:rPr>
        <w:t xml:space="preserve">no</w:t>
      </w:r>
      <w:r>
        <w:t xml:space="preserve">.</w:t>
      </w:r>
    </w:p>
    <w:p>
      <w:pPr>
        <w:numPr>
          <w:numId w:val="1027"/>
          <w:ilvl w:val="0"/>
        </w:numPr>
      </w:pPr>
      <w:r>
        <w:t xml:space="preserve">Остальные заголовки должны содержать в себе точный код поля</w:t>
      </w:r>
      <w:r>
        <w:t xml:space="preserve"> </w:t>
      </w:r>
      <w:r>
        <w:t xml:space="preserve">формы (например,</w:t>
      </w:r>
      <w:r>
        <w:t xml:space="preserve"> </w:t>
      </w:r>
      <w:r>
        <w:rPr>
          <w:rStyle w:val="VerbatimChar"/>
        </w:rPr>
        <w:t xml:space="preserve">crm_form_account_main_adress</w:t>
      </w:r>
      <w:r>
        <w:t xml:space="preserve">).</w:t>
      </w:r>
    </w:p>
    <w:p>
      <w:pPr>
        <w:numPr>
          <w:numId w:val="1027"/>
          <w:ilvl w:val="0"/>
        </w:numPr>
      </w:pPr>
      <w:r>
        <w:t xml:space="preserve">Для корректного импорта чисел значение поля в файле должно быть</w:t>
      </w:r>
      <w:r>
        <w:t xml:space="preserve"> </w:t>
      </w:r>
      <w:r>
        <w:t xml:space="preserve">в числовом формате.</w:t>
      </w:r>
    </w:p>
    <w:p>
      <w:pPr>
        <w:numPr>
          <w:numId w:val="1027"/>
          <w:ilvl w:val="0"/>
        </w:numPr>
      </w:pPr>
      <w:r>
        <w:t xml:space="preserve">Для корректного импорта дат значение поля в файле должно быть</w:t>
      </w:r>
      <w:r>
        <w:t xml:space="preserve"> </w:t>
      </w:r>
      <w:r>
        <w:t xml:space="preserve">в формате даты.</w:t>
      </w:r>
    </w:p>
    <w:p>
      <w:pPr>
        <w:numPr>
          <w:numId w:val="1027"/>
          <w:ilvl w:val="0"/>
        </w:numPr>
      </w:pPr>
      <w:r>
        <w:t xml:space="preserve">Для корректного импорта справочников значение поля в файле должно</w:t>
      </w:r>
      <w:r>
        <w:t xml:space="preserve"> </w:t>
      </w:r>
      <w:r>
        <w:t xml:space="preserve">точь-в-точь совпадать с его «наименованием» у справочника.</w:t>
      </w:r>
    </w:p>
    <w:p>
      <w:pPr>
        <w:numPr>
          <w:numId w:val="1027"/>
          <w:ilvl w:val="0"/>
        </w:numPr>
      </w:pPr>
      <w:r>
        <w:t xml:space="preserve">Для корректного импорта нескольких значений в компонент выбора</w:t>
      </w:r>
      <w:r>
        <w:t xml:space="preserve"> </w:t>
      </w:r>
      <w:r>
        <w:t xml:space="preserve">вариантов (чекбокс) в файле их нужно прописать в одной ячейке</w:t>
      </w:r>
      <w:r>
        <w:t xml:space="preserve"> </w:t>
      </w:r>
      <w:r>
        <w:t xml:space="preserve">через</w:t>
      </w:r>
      <w:r>
        <w:t xml:space="preserve"> </w:t>
      </w:r>
      <w:r>
        <w:rPr>
          <w:rStyle w:val="VerbatimChar"/>
        </w:rPr>
        <w:t xml:space="preserve">;</w:t>
      </w:r>
      <w:r>
        <w:t xml:space="preserve"> </w:t>
      </w:r>
      <w:r>
        <w:t xml:space="preserve">с пробелом.</w:t>
      </w:r>
    </w:p>
    <w:p>
      <w:pPr>
        <w:numPr>
          <w:numId w:val="1027"/>
          <w:ilvl w:val="0"/>
        </w:numPr>
      </w:pPr>
      <w:r>
        <w:t xml:space="preserve">Желательно избегать содержания в файле спец.символов json:</w:t>
      </w:r>
      <w:r>
        <w:t xml:space="preserve"> </w:t>
      </w:r>
      <w:r>
        <w:rPr>
          <w:rStyle w:val="VerbatimChar"/>
        </w:rPr>
        <w:t xml:space="preserve">"</w:t>
      </w:r>
      <w:r>
        <w:t xml:space="preserve">,</w:t>
      </w:r>
      <w:r>
        <w:t xml:space="preserve"> </w:t>
      </w:r>
      <w:r>
        <w:rPr>
          <w:rStyle w:val="VerbatimChar"/>
        </w:rPr>
        <w:t xml:space="preserve">\</w:t>
      </w:r>
      <w:r>
        <w:t xml:space="preserve">,</w:t>
      </w:r>
      <w:r>
        <w:t xml:space="preserve"> </w:t>
      </w:r>
      <w:r>
        <w:rPr>
          <w:rStyle w:val="VerbatimChar"/>
        </w:rPr>
        <w:t xml:space="preserve">\b</w:t>
      </w:r>
      <w:r>
        <w:t xml:space="preserve">,</w:t>
      </w:r>
      <w:r>
        <w:t xml:space="preserve"> </w:t>
      </w:r>
      <w:r>
        <w:rPr>
          <w:rStyle w:val="VerbatimChar"/>
        </w:rPr>
        <w:t xml:space="preserve">\t</w:t>
      </w:r>
      <w:r>
        <w:t xml:space="preserve"> </w:t>
      </w:r>
      <w:r>
        <w:t xml:space="preserve">и т.д.</w:t>
      </w:r>
    </w:p>
    <w:p>
      <w:pPr>
        <w:pStyle w:val="FirstParagraph"/>
      </w:pPr>
      <w:r>
        <w:t xml:space="preserve">Использование:</w:t>
      </w:r>
    </w:p>
    <w:p>
      <w:pPr>
        <w:numPr>
          <w:numId w:val="1028"/>
          <w:ilvl w:val="0"/>
        </w:numPr>
      </w:pPr>
      <w:r>
        <w:t xml:space="preserve">Заполнить код формы и код реестра, в который будет проводиться</w:t>
      </w:r>
      <w:r>
        <w:t xml:space="preserve"> </w:t>
      </w:r>
      <w:r>
        <w:t xml:space="preserve">импорт. Коды можно взять в конфигураторе.</w:t>
      </w:r>
    </w:p>
    <w:p>
      <w:pPr>
        <w:numPr>
          <w:numId w:val="1028"/>
          <w:ilvl w:val="0"/>
        </w:numPr>
      </w:pPr>
      <w:r>
        <w:t xml:space="preserve">Заполнить логин и пароль пользоваться, от имени которого будут</w:t>
      </w:r>
      <w:r>
        <w:t xml:space="preserve"> </w:t>
      </w:r>
      <w:r>
        <w:t xml:space="preserve">выполняться все запросы. Пользователь должен иметь права на все</w:t>
      </w:r>
      <w:r>
        <w:t xml:space="preserve"> </w:t>
      </w:r>
      <w:r>
        <w:t xml:space="preserve">реестры (куда происходит импорт и если в файле имеются ссылки на</w:t>
      </w:r>
      <w:r>
        <w:t xml:space="preserve"> </w:t>
      </w:r>
      <w:r>
        <w:t xml:space="preserve">прочие реестры).</w:t>
      </w:r>
    </w:p>
    <w:p>
      <w:pPr>
        <w:numPr>
          <w:numId w:val="1028"/>
          <w:ilvl w:val="0"/>
        </w:numPr>
      </w:pPr>
      <w:r>
        <w:t xml:space="preserve">Если импортируемые записи необходимо запустить по маршруту,</w:t>
      </w:r>
      <w:r>
        <w:t xml:space="preserve"> </w:t>
      </w:r>
      <w:r>
        <w:t xml:space="preserve">требуется поставить галочку «Активировать импортированные записи».</w:t>
      </w:r>
    </w:p>
    <w:p>
      <w:pPr>
        <w:numPr>
          <w:numId w:val="1028"/>
          <w:ilvl w:val="0"/>
        </w:numPr>
      </w:pPr>
      <w:r>
        <w:t xml:space="preserve">Если присутсвуют ссылки на реестр</w:t>
      </w:r>
      <w:r>
        <w:t xml:space="preserve"> </w:t>
      </w:r>
      <w:r>
        <w:rPr>
          <w:b/>
        </w:rPr>
        <w:t xml:space="preserve">обязательно</w:t>
      </w:r>
      <w:r>
        <w:t xml:space="preserve"> </w:t>
      </w:r>
      <w:r>
        <w:t xml:space="preserve">нужно заполнить</w:t>
      </w:r>
      <w:r>
        <w:t xml:space="preserve"> </w:t>
      </w:r>
      <w:r>
        <w:t xml:space="preserve">поле для поиска в формате:</w:t>
      </w:r>
    </w:p>
    <w:p>
      <w:pPr>
        <w:numPr>
          <w:numId w:val="1000"/>
          <w:ilvl w:val="0"/>
        </w:numPr>
      </w:pPr>
      <w:r>
        <w:rPr>
          <w:rStyle w:val="VerbatimChar"/>
        </w:rPr>
        <w:t xml:space="preserve">(код компонента на форме, куда производится импорт):(код компонента на форме, на которую указывает компонент ссылки на реестр, по которому должен производится поиск)</w:t>
      </w:r>
    </w:p>
    <w:p>
      <w:pPr>
        <w:numPr>
          <w:numId w:val="1000"/>
          <w:ilvl w:val="0"/>
        </w:numPr>
      </w:pPr>
      <w:r>
        <w:t xml:space="preserve">Для каждой ссылки на реестр необходимо через запятую с пробелом</w:t>
      </w:r>
      <w:r>
        <w:t xml:space="preserve"> </w:t>
      </w:r>
      <w:r>
        <w:t xml:space="preserve">необходимо указать подобные пары.</w:t>
      </w:r>
    </w:p>
    <w:p>
      <w:pPr>
        <w:numPr>
          <w:numId w:val="1028"/>
          <w:ilvl w:val="0"/>
        </w:numPr>
      </w:pPr>
      <w:r>
        <w:t xml:space="preserve">При поиске записей для ссылок на реестр может найтись несколько</w:t>
      </w:r>
      <w:r>
        <w:t xml:space="preserve"> </w:t>
      </w:r>
      <w:r>
        <w:t xml:space="preserve">записей реестра. Укажите в соотвествующем пункте действия на этот</w:t>
      </w:r>
      <w:r>
        <w:t xml:space="preserve"> </w:t>
      </w:r>
      <w:r>
        <w:t xml:space="preserve">случай. Если не найдена ни одна запись, значение останется пустым.</w:t>
      </w:r>
    </w:p>
    <w:p>
      <w:pPr>
        <w:numPr>
          <w:numId w:val="1028"/>
          <w:ilvl w:val="0"/>
        </w:numPr>
      </w:pPr>
      <w:r>
        <w:t xml:space="preserve">Выберите заранее подготовленный файл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 </w:t>
      </w:r>
      <w:r>
        <w:t xml:space="preserve">и нажмите на кнопку</w:t>
      </w:r>
      <w:r>
        <w:t xml:space="preserve"> </w:t>
      </w:r>
      <w:r>
        <w:t xml:space="preserve">«Импортировать». Импорт начнет в нескольких потоках обрабатывать</w:t>
      </w:r>
      <w:r>
        <w:t xml:space="preserve"> </w:t>
      </w:r>
      <w:r>
        <w:t xml:space="preserve">переданные записи. Следить за процессом можно через логи системы</w:t>
      </w:r>
      <w:r>
        <w:t xml:space="preserve"> </w:t>
      </w:r>
      <w:r>
        <w:t xml:space="preserve">Synergy.</w:t>
      </w:r>
    </w:p>
    <w:bookmarkEnd w:id="94"/>
    <w:bookmarkEnd w:id="95"/>
    <w:p>
      <w:pPr>
        <w:pStyle w:val="FirstParagraph"/>
      </w:pPr>
      <w:bookmarkStart w:id="96" w:name="faq.xhtml"/>
      <w:bookmarkEnd w:id="96"/>
    </w:p>
    <w:bookmarkStart w:id="107" w:name="faq.xhtml#synergy-customers"/>
    <w:p>
      <w:pPr>
        <w:pStyle w:val="Heading1"/>
      </w:pPr>
      <w:r>
        <w:t xml:space="preserve">3. Настройка и кастомизация Synergy Customers</w:t>
      </w:r>
    </w:p>
    <w:bookmarkStart w:id="98" w:name="faq.xhtml#id1"/>
    <w:p>
      <w:pPr>
        <w:pStyle w:val="Heading2"/>
      </w:pPr>
      <w:r>
        <w:t xml:space="preserve">3.1. Можно ли изменить дизайн продукта?</w:t>
      </w:r>
    </w:p>
    <w:p>
      <w:pPr>
        <w:pStyle w:val="FirstParagraph"/>
      </w:pPr>
      <w:r>
        <w:rPr>
          <w:i/>
        </w:rPr>
        <w:t xml:space="preserve">Теги: изменить дизайн, изменить интерфейс.</w:t>
      </w:r>
    </w:p>
    <w:p>
      <w:pPr>
        <w:pStyle w:val="BodyText"/>
      </w:pPr>
      <w:r>
        <w:rPr>
          <w:i/>
        </w:rPr>
        <w:t xml:space="preserve">Уровень: разработчик.</w:t>
      </w:r>
    </w:p>
    <w:p>
      <w:pPr>
        <w:pStyle w:val="BodyText"/>
      </w:pPr>
      <w:r>
        <w:t xml:space="preserve">Продукт реализован на платформе Arta Synergy и конструкторе</w:t>
      </w:r>
      <w:r>
        <w:t xml:space="preserve"> </w:t>
      </w:r>
      <w:r>
        <w:t xml:space="preserve">приложений в частности. Данный конструктор приложений</w:t>
      </w:r>
      <w:r>
        <w:t xml:space="preserve"> </w:t>
      </w:r>
      <w:r>
        <w:t xml:space="preserve">обеспечивает дизайн «по умолчанию», используется встроенный</w:t>
      </w:r>
      <w:r>
        <w:t xml:space="preserve"> </w:t>
      </w:r>
      <w:r>
        <w:t xml:space="preserve">framework</w:t>
      </w:r>
      <w:r>
        <w:t xml:space="preserve"> </w:t>
      </w:r>
      <w:hyperlink r:id="rId97">
        <w:r>
          <w:rPr>
            <w:rStyle w:val="Hyperlink"/>
          </w:rPr>
          <w:t xml:space="preserve">UIKit</w:t>
        </w:r>
      </w:hyperlink>
      <w:r>
        <w:t xml:space="preserve"> </w:t>
      </w:r>
      <w:r>
        <w:t xml:space="preserve">[https://getuikit.com/docs/introduction]</w:t>
      </w:r>
      <w:r>
        <w:t xml:space="preserve">.</w:t>
      </w:r>
    </w:p>
    <w:p>
      <w:pPr>
        <w:pStyle w:val="BodyText"/>
      </w:pPr>
      <w:r>
        <w:t xml:space="preserve">При этом конструктор приложений позволяет менять дизайн продукта.</w:t>
      </w:r>
      <w:r>
        <w:t xml:space="preserve"> </w:t>
      </w:r>
      <w:r>
        <w:t xml:space="preserve">Для этого необходимо:</w:t>
      </w:r>
    </w:p>
    <w:p>
      <w:pPr>
        <w:numPr>
          <w:numId w:val="1029"/>
          <w:ilvl w:val="0"/>
        </w:numPr>
      </w:pPr>
      <w:r>
        <w:t xml:space="preserve">подключить разработчика со знаниями HTML/CSS и JavaScript;</w:t>
      </w:r>
    </w:p>
    <w:p>
      <w:pPr>
        <w:numPr>
          <w:numId w:val="1029"/>
          <w:ilvl w:val="0"/>
        </w:numPr>
      </w:pPr>
      <w:r>
        <w:t xml:space="preserve">в приложении конструктора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переопределить стили</w:t>
      </w:r>
      <w:r>
        <w:t xml:space="preserve"> </w:t>
      </w:r>
      <w:r>
        <w:t xml:space="preserve">в ресурсах и свойствах всех используемых компонентов:</w:t>
      </w:r>
    </w:p>
    <w:p>
      <w:pPr>
        <w:numPr>
          <w:numId w:val="1030"/>
          <w:ilvl w:val="1"/>
        </w:numPr>
      </w:pPr>
      <w:r>
        <w:t xml:space="preserve">«CSS Класс» и «Стили» - у стандартных компонентов;</w:t>
      </w:r>
    </w:p>
    <w:p>
      <w:pPr>
        <w:numPr>
          <w:numId w:val="1030"/>
          <w:ilvl w:val="1"/>
        </w:numPr>
      </w:pPr>
      <w:r>
        <w:t xml:space="preserve">«HTML» и «Стили» - у пользовательских компонентов.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Изменить цвета витрины продаж можно без разработчика</w:t>
      </w:r>
      <w:r>
        <w:t xml:space="preserve"> </w:t>
      </w:r>
      <w:r>
        <w:t xml:space="preserve">штатными средствами, см. подробнее</w:t>
      </w:r>
      <w:r>
        <w:t xml:space="preserve"> </w:t>
      </w:r>
      <w:hyperlink w:anchor="faq.xhtml#id5">
        <w:r>
          <w:rPr>
            <w:rStyle w:val="Hyperlink"/>
          </w:rPr>
          <w:t xml:space="preserve">здесь</w:t>
        </w:r>
      </w:hyperlink>
      <w:r>
        <w:t xml:space="preserve">.</w:t>
      </w:r>
    </w:p>
    <w:bookmarkEnd w:id="98"/>
    <w:bookmarkStart w:id="99" w:name="faq.xhtml#url"/>
    <w:p>
      <w:pPr>
        <w:pStyle w:val="Heading2"/>
      </w:pPr>
      <w:r>
        <w:t xml:space="preserve">3.2. Как изменить URL-адрес приложения?</w:t>
      </w:r>
    </w:p>
    <w:p>
      <w:pPr>
        <w:pStyle w:val="FirstParagraph"/>
      </w:pPr>
      <w:r>
        <w:rPr>
          <w:i/>
        </w:rPr>
        <w:t xml:space="preserve">Теги: адрес приложения, URL, /customers.</w:t>
      </w:r>
    </w:p>
    <w:p>
      <w:pPr>
        <w:pStyle w:val="BodyText"/>
      </w:pPr>
      <w:r>
        <w:rPr>
          <w:i/>
        </w:rPr>
        <w:t xml:space="preserve">Уровень: системный администратор.</w:t>
      </w:r>
    </w:p>
    <w:p>
      <w:pPr>
        <w:pStyle w:val="BodyText"/>
      </w:pPr>
      <w:r>
        <w:t xml:space="preserve">В качестве примера изменим URL с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31"/>
          <w:ilvl w:val="0"/>
        </w:numPr>
      </w:pPr>
      <w:r>
        <w:t xml:space="preserve">Авторизоваться в Конструкторе приложений и перейти в</w:t>
      </w:r>
      <w:r>
        <w:t xml:space="preserve"> </w:t>
      </w:r>
      <w:r>
        <w:t xml:space="preserve">актуальную версию приложения «Customers 3.0»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1"/>
          <w:ilvl w:val="0"/>
        </w:numPr>
      </w:pPr>
      <w:r>
        <w:t xml:space="preserve">Открыть свойства приложения и поменять значение поля URL</w:t>
      </w:r>
      <w:r>
        <w:t xml:space="preserve"> </w:t>
      </w:r>
      <w:r>
        <w:t xml:space="preserve">с дефолтного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 новое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31"/>
          <w:ilvl w:val="0"/>
        </w:numPr>
      </w:pPr>
      <w:r>
        <w:t xml:space="preserve">Передеплоить приложение.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1.</w:t>
      </w:r>
      <w:r>
        <w:t xml:space="preserve"> </w:t>
      </w:r>
      <w:r>
        <w:t xml:space="preserve">В Конструкторе приложений использовать меню</w:t>
      </w:r>
      <w:r>
        <w:t xml:space="preserve"> </w:t>
      </w:r>
      <w:r>
        <w:t xml:space="preserve">Клиент -&gt; Деплой.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2.</w:t>
      </w:r>
      <w:r>
        <w:t xml:space="preserve"> </w:t>
      </w:r>
      <w:r>
        <w:t xml:space="preserve">Передеплоить приложение со стороны сервера:</w:t>
      </w:r>
    </w:p>
    <w:p>
      <w:pPr>
        <w:numPr>
          <w:numId w:val="1032"/>
          <w:ilvl w:val="1"/>
        </w:numPr>
      </w:pPr>
      <w:r>
        <w:t xml:space="preserve">Перейти в папку</w:t>
      </w:r>
      <w:r>
        <w:t xml:space="preserve"> </w:t>
      </w:r>
      <w:r>
        <w:rPr>
          <w:rStyle w:val="VerbatimChar"/>
        </w:rPr>
        <w:t xml:space="preserve">deployments</w:t>
      </w:r>
      <w:r>
        <w:t xml:space="preserve">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cd /opt/synergy/jboss/standalone/deployments</w:t>
      </w:r>
    </w:p>
    <w:p>
      <w:pPr>
        <w:numPr>
          <w:numId w:val="1032"/>
          <w:ilvl w:val="1"/>
        </w:numPr>
      </w:pPr>
      <w:r>
        <w:t xml:space="preserve">Выполнить команду: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touch sales.war.dodeploy</w:t>
      </w:r>
    </w:p>
    <w:p>
      <w:pPr>
        <w:numPr>
          <w:numId w:val="1031"/>
          <w:ilvl w:val="0"/>
        </w:numPr>
      </w:pPr>
      <w:r>
        <w:t xml:space="preserve">Со стороны сервера перейти в конфигурационный файл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nano /etc/nginx/sites-enabled/synergy-base</w:t>
      </w:r>
    </w:p>
    <w:p>
      <w:pPr>
        <w:numPr>
          <w:numId w:val="1000"/>
          <w:ilvl w:val="0"/>
        </w:numPr>
      </w:pPr>
      <w:r>
        <w:t xml:space="preserve">и поменять дефолтный контекст</w:t>
      </w:r>
      <w:r>
        <w:t xml:space="preserve"> </w:t>
      </w:r>
      <w:r>
        <w:rPr>
          <w:rStyle w:val="VerbatimChar"/>
        </w:rPr>
        <w:t xml:space="preserve">/customers</w:t>
      </w:r>
      <w:r>
        <w:t xml:space="preserve"> </w:t>
      </w:r>
      <w:r>
        <w:t xml:space="preserve">на новый</w:t>
      </w:r>
      <w:r>
        <w:t xml:space="preserve"> </w:t>
      </w:r>
      <w:r>
        <w:rPr>
          <w:rStyle w:val="VerbatimChar"/>
        </w:rPr>
        <w:t xml:space="preserve">/sales</w:t>
      </w:r>
      <w:r>
        <w:t xml:space="preserve">.</w:t>
      </w:r>
    </w:p>
    <w:p>
      <w:pPr>
        <w:numPr>
          <w:numId w:val="1000"/>
          <w:ilvl w:val="0"/>
        </w:numPr>
      </w:pPr>
      <w:r>
        <w:rPr>
          <w:i/>
        </w:rPr>
        <w:t xml:space="preserve">Было customers: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/customers {</w:t>
      </w:r>
      <w:r>
        <w:br w:type="textWrapping"/>
      </w:r>
      <w:r>
        <w:rPr>
          <w:rStyle w:val="VerbatimChar"/>
        </w:rPr>
        <w:t xml:space="preserve">        proxy_pass http://127.0.0.1:8080/customers;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00"/>
          <w:ilvl w:val="0"/>
        </w:numPr>
      </w:pPr>
      <w:r>
        <w:rPr>
          <w:i/>
        </w:rPr>
        <w:t xml:space="preserve">Стало sales: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/sales {</w:t>
      </w:r>
      <w:r>
        <w:br w:type="textWrapping"/>
      </w:r>
      <w:r>
        <w:rPr>
          <w:rStyle w:val="VerbatimChar"/>
        </w:rPr>
        <w:t xml:space="preserve">        proxy_pass http://127.0.0.1:8080/sales;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31"/>
          <w:ilvl w:val="0"/>
        </w:numPr>
      </w:pPr>
      <w:r>
        <w:t xml:space="preserve">Проверить корректность настроек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-t</w:t>
      </w:r>
    </w:p>
    <w:p>
      <w:pPr>
        <w:numPr>
          <w:numId w:val="1000"/>
          <w:ilvl w:val="0"/>
        </w:numPr>
      </w:pPr>
      <w:r>
        <w:t xml:space="preserve">При необходимости исправить ошибки.</w:t>
      </w:r>
    </w:p>
    <w:p>
      <w:pPr>
        <w:numPr>
          <w:numId w:val="1031"/>
          <w:ilvl w:val="0"/>
        </w:numPr>
      </w:pPr>
      <w:r>
        <w:t xml:space="preserve">Если проверка прошла успешно, перезагрузить настройки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-s reload</w:t>
      </w:r>
    </w:p>
    <w:bookmarkEnd w:id="99"/>
    <w:bookmarkStart w:id="101" w:name="faq.xhtml#id3"/>
    <w:p>
      <w:pPr>
        <w:pStyle w:val="Heading2"/>
      </w:pPr>
      <w:r>
        <w:t xml:space="preserve">3.3. Как изменить поля в карточках?</w:t>
      </w:r>
    </w:p>
    <w:p>
      <w:pPr>
        <w:pStyle w:val="FirstParagraph"/>
      </w:pPr>
      <w:r>
        <w:rPr>
          <w:i/>
        </w:rPr>
        <w:t xml:space="preserve">Теги: добавить новое поле, изменить заголовок поля, изменить</w:t>
      </w:r>
      <w:r>
        <w:rPr>
          <w:i/>
        </w:rPr>
        <w:t xml:space="preserve"> </w:t>
      </w:r>
      <w:r>
        <w:rPr>
          <w:i/>
        </w:rPr>
        <w:t xml:space="preserve">порядок следования полей.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t xml:space="preserve">Продукт реализован на платформе Arta Synergy и редактора</w:t>
      </w:r>
      <w:r>
        <w:t xml:space="preserve"> </w:t>
      </w:r>
      <w:r>
        <w:t xml:space="preserve">форм в частности. Данный редактор форм обеспечивает гибкую</w:t>
      </w:r>
      <w:r>
        <w:t xml:space="preserve"> </w:t>
      </w:r>
      <w:r>
        <w:t xml:space="preserve">настройку состава полей любых карточек.</w:t>
      </w:r>
    </w:p>
    <w:p>
      <w:pPr>
        <w:numPr>
          <w:numId w:val="1033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3"/>
          <w:ilvl w:val="0"/>
        </w:numPr>
      </w:pPr>
      <w:r>
        <w:t xml:space="preserve">Найти и открыть нужную форму.</w:t>
      </w:r>
    </w:p>
    <w:p>
      <w:pPr>
        <w:numPr>
          <w:numId w:val="1033"/>
          <w:ilvl w:val="0"/>
        </w:numPr>
      </w:pPr>
      <w:r>
        <w:t xml:space="preserve">Изменить состав полей и их свойства согласно</w:t>
      </w:r>
      <w:r>
        <w:t xml:space="preserve"> </w:t>
      </w:r>
      <w:hyperlink r:id="rId100">
        <w:r>
          <w:rPr>
            <w:rStyle w:val="Hyperlink"/>
          </w:rPr>
          <w:t xml:space="preserve">рекомендаций</w:t>
        </w:r>
      </w:hyperlink>
      <w:r>
        <w:t xml:space="preserve">.</w:t>
      </w:r>
    </w:p>
    <w:bookmarkEnd w:id="101"/>
    <w:bookmarkStart w:id="103" w:name="faq.xhtml#id5"/>
    <w:p>
      <w:pPr>
        <w:pStyle w:val="Heading2"/>
      </w:pPr>
      <w:r>
        <w:t xml:space="preserve">3.4. Как изменить стадии сделки?</w:t>
      </w:r>
    </w:p>
    <w:p>
      <w:pPr>
        <w:pStyle w:val="FirstParagraph"/>
      </w:pPr>
      <w:r>
        <w:rPr>
          <w:i/>
        </w:rPr>
        <w:t xml:space="preserve">Теги: сделка,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сделки».</w:t>
      </w:r>
    </w:p>
    <w:p>
      <w:pPr>
        <w:numPr>
          <w:numId w:val="1034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4"/>
          <w:ilvl w:val="0"/>
        </w:numPr>
      </w:pPr>
      <w:r>
        <w:t xml:space="preserve">Найти и открыть справочник «Стадии сделки» (с кодом</w:t>
      </w:r>
      <w:r>
        <w:t xml:space="preserve"> </w:t>
      </w:r>
      <w:r>
        <w:rPr>
          <w:rStyle w:val="VerbatimChar"/>
        </w:rPr>
        <w:t xml:space="preserve">customers_dict_dealStatus</w:t>
      </w:r>
      <w:r>
        <w:t xml:space="preserve">).</w:t>
      </w:r>
    </w:p>
    <w:p>
      <w:pPr>
        <w:numPr>
          <w:numId w:val="1034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сделок.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4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102">
        <w:r>
          <w:rPr>
            <w:rStyle w:val="Hyperlink"/>
          </w:rPr>
          <w:t xml:space="preserve">стадий сделок</w:t>
        </w:r>
      </w:hyperlink>
      <w:r>
        <w:t xml:space="preserve">.</w:t>
      </w:r>
    </w:p>
    <w:bookmarkEnd w:id="103"/>
    <w:bookmarkStart w:id="105" w:name="faq.xhtml#id7"/>
    <w:p>
      <w:pPr>
        <w:pStyle w:val="Heading2"/>
      </w:pPr>
      <w:r>
        <w:t xml:space="preserve">3.5. Как изменить стадии договора?</w:t>
      </w:r>
    </w:p>
    <w:p>
      <w:pPr>
        <w:pStyle w:val="FirstParagraph"/>
      </w:pPr>
      <w:r>
        <w:rPr>
          <w:i/>
        </w:rPr>
        <w:t xml:space="preserve">Теги: договор,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изменить цвет стадии,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договора».</w:t>
      </w:r>
    </w:p>
    <w:p>
      <w:pPr>
        <w:numPr>
          <w:numId w:val="1035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5"/>
          <w:ilvl w:val="0"/>
        </w:numPr>
      </w:pPr>
      <w:r>
        <w:t xml:space="preserve">Найти и открыть справочник «Стадии договора» (с кодом</w:t>
      </w:r>
      <w:r>
        <w:t xml:space="preserve"> </w:t>
      </w:r>
      <w:r>
        <w:rPr>
          <w:rStyle w:val="VerbatimChar"/>
        </w:rPr>
        <w:t xml:space="preserve">customers_dict_contractStatus</w:t>
      </w:r>
      <w:r>
        <w:t xml:space="preserve">).</w:t>
      </w:r>
    </w:p>
    <w:p>
      <w:pPr>
        <w:numPr>
          <w:numId w:val="1035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договора.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5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104">
        <w:r>
          <w:rPr>
            <w:rStyle w:val="Hyperlink"/>
          </w:rPr>
          <w:t xml:space="preserve">стадий договора</w:t>
        </w:r>
      </w:hyperlink>
      <w:r>
        <w:t xml:space="preserve">.</w:t>
      </w:r>
    </w:p>
    <w:bookmarkEnd w:id="105"/>
    <w:bookmarkStart w:id="106" w:name="faq.xhtml#id9"/>
    <w:p>
      <w:pPr>
        <w:pStyle w:val="Heading2"/>
      </w:pPr>
      <w:r>
        <w:t xml:space="preserve">3.6. Как изменить стадии лида?</w:t>
      </w:r>
    </w:p>
    <w:p>
      <w:pPr>
        <w:pStyle w:val="FirstParagraph"/>
      </w:pPr>
      <w:r>
        <w:rPr>
          <w:i/>
        </w:rPr>
        <w:t xml:space="preserve">Теги: лид,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лида».</w:t>
      </w:r>
    </w:p>
    <w:p>
      <w:pPr>
        <w:numPr>
          <w:numId w:val="1036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6"/>
          <w:ilvl w:val="0"/>
        </w:numPr>
      </w:pPr>
      <w:r>
        <w:t xml:space="preserve">Найти и открыть справочник «Стадии лида» (с кодом</w:t>
      </w:r>
      <w:r>
        <w:t xml:space="preserve"> </w:t>
      </w:r>
      <w:r>
        <w:rPr>
          <w:rStyle w:val="VerbatimChar"/>
        </w:rPr>
        <w:t xml:space="preserve">customers_dict_leadStatus</w:t>
      </w:r>
      <w:r>
        <w:t xml:space="preserve">).</w:t>
      </w:r>
    </w:p>
    <w:p>
      <w:pPr>
        <w:numPr>
          <w:numId w:val="1036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лида.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6"/>
          <w:ilvl w:val="0"/>
        </w:numPr>
      </w:pPr>
      <w:r>
        <w:t xml:space="preserve">Изменить элементы согласно описания справочника стадий лида.</w:t>
      </w:r>
    </w:p>
    <w:bookmarkEnd w:id="106"/>
    <w:bookmarkEnd w:id="107"/>
    <w:p>
      <w:pPr>
        <w:pStyle w:val="FirstParagraph"/>
      </w:pPr>
      <w:bookmarkStart w:id="108" w:name="genindex.xhtml"/>
      <w:bookmarkEnd w:id="108"/>
    </w:p>
    <w:p>
      <w:pPr>
        <w:pStyle w:val="Heading1"/>
      </w:pPr>
      <w:bookmarkStart w:id="109" w:name="genindex.xhtml#index"/>
      <w:r>
        <w:t xml:space="preserve">Алфавитный указатель</w:t>
      </w:r>
      <w:bookmarkEnd w:id="109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1"/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6">
    <w:abstractNumId w:val="991"/>
  </w:num>
  <w:num w:numId="102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1"/>
  </w:num>
  <w:num w:numId="10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  <w:num w:numId="103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26" Target="media/rId26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69" Target="media/rId69.png" /><Relationship Type="http://schemas.openxmlformats.org/officeDocument/2006/relationships/image" Id="rId43" Target="media/rId43.png" /><Relationship Type="http://schemas.openxmlformats.org/officeDocument/2006/relationships/image" Id="rId23" Target="media/rId23.png" /><Relationship Type="http://schemas.openxmlformats.org/officeDocument/2006/relationships/image" Id="rId54" Target="media/rId54.png" /><Relationship Type="http://schemas.openxmlformats.org/officeDocument/2006/relationships/image" Id="rId56" Target="media/rId56.png" /><Relationship Type="http://schemas.openxmlformats.org/officeDocument/2006/relationships/image" Id="rId51" Target="media/rId51.png" /><Relationship Type="http://schemas.openxmlformats.org/officeDocument/2006/relationships/image" Id="rId38" Target="media/rId38.png" /><Relationship Type="http://schemas.openxmlformats.org/officeDocument/2006/relationships/image" Id="rId64" Target="media/rId64.png" /><Relationship Type="http://schemas.openxmlformats.org/officeDocument/2006/relationships/image" Id="rId59" Target="media/rId59.png" /><Relationship Type="http://schemas.openxmlformats.org/officeDocument/2006/relationships/image" Id="rId32" Target="media/rId32.png" /><Relationship Type="http://schemas.openxmlformats.org/officeDocument/2006/relationships/image" Id="rId46" Target="media/rId46.png" /><Relationship Type="http://schemas.openxmlformats.org/officeDocument/2006/relationships/image" Id="rId62" Target="media/rId62.png" /><Relationship Type="http://schemas.openxmlformats.org/officeDocument/2006/relationships/image" Id="rId81" Target="media/rId81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76" Target="media/rId76.png" /><Relationship Type="http://schemas.openxmlformats.org/officeDocument/2006/relationships/image" Id="rId74" Target="media/rId74.png" /><Relationship Type="http://schemas.openxmlformats.org/officeDocument/2006/relationships/image" Id="rId78" Target="media/rId78.png" /><Relationship Type="http://schemas.openxmlformats.org/officeDocument/2006/relationships/hyperlink" Id="rId102" Target="description.html#c" TargetMode="External" /><Relationship Type="http://schemas.openxmlformats.org/officeDocument/2006/relationships/hyperlink" Id="rId100" Target="description.html#id1" TargetMode="External" /><Relationship Type="http://schemas.openxmlformats.org/officeDocument/2006/relationships/hyperlink" Id="rId104" Target="description.html#id5" TargetMode="External" /><Relationship Type="http://schemas.openxmlformats.org/officeDocument/2006/relationships/hyperlink" Id="rId87" Target="faq.html#id3" TargetMode="External" /><Relationship Type="http://schemas.openxmlformats.org/officeDocument/2006/relationships/hyperlink" Id="rId89" Target="faq.html#id5" TargetMode="External" /><Relationship Type="http://schemas.openxmlformats.org/officeDocument/2006/relationships/hyperlink" Id="rId91" Target="faq.html#id7" TargetMode="External" /><Relationship Type="http://schemas.openxmlformats.org/officeDocument/2006/relationships/hyperlink" Id="rId86" Target="http://tdd.lan.arta.kz/docs/synergy/tags/minsky/spec/html/sec.conf_forms.html" TargetMode="External" /><Relationship Type="http://schemas.openxmlformats.org/officeDocument/2006/relationships/hyperlink" Id="rId97" Target="https://getuikit.com/docs/introduction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02" Target="description.html#c" TargetMode="External" /><Relationship Type="http://schemas.openxmlformats.org/officeDocument/2006/relationships/hyperlink" Id="rId100" Target="description.html#id1" TargetMode="External" /><Relationship Type="http://schemas.openxmlformats.org/officeDocument/2006/relationships/hyperlink" Id="rId104" Target="description.html#id5" TargetMode="External" /><Relationship Type="http://schemas.openxmlformats.org/officeDocument/2006/relationships/hyperlink" Id="rId87" Target="faq.html#id3" TargetMode="External" /><Relationship Type="http://schemas.openxmlformats.org/officeDocument/2006/relationships/hyperlink" Id="rId89" Target="faq.html#id5" TargetMode="External" /><Relationship Type="http://schemas.openxmlformats.org/officeDocument/2006/relationships/hyperlink" Id="rId91" Target="faq.html#id7" TargetMode="External" /><Relationship Type="http://schemas.openxmlformats.org/officeDocument/2006/relationships/hyperlink" Id="rId86" Target="http://tdd.lan.arta.kz/docs/synergy/tags/minsky/spec/html/sec.conf_forms.html" TargetMode="External" /><Relationship Type="http://schemas.openxmlformats.org/officeDocument/2006/relationships/hyperlink" Id="rId97" Target="https://getuikit.com/docs/introduc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Инструкция по настройке и использованию Synergy Customers 3.5</dc:title>
  <dc:creator>unknown</dc:creator>
  <cp:keywords/>
  <dcterms:created xsi:type="dcterms:W3CDTF">2023-05-19T09:34:36Z</dcterms:created>
  <dcterms:modified xsi:type="dcterms:W3CDTF">2023-05-19T09:34:36Z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