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внедрению Synergy Experience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2022-02-13T23:46:17Z</w:t>
      </w:r>
    </w:p>
    <w:p>
      <w:pPr>
        <w:pStyle w:val="FirstParagraph"/>
      </w:pPr>
      <w:bookmarkStart w:id="20" w:name="index.xhtml"/>
      <w:bookmarkEnd w:id="20"/>
    </w:p>
    <w:bookmarkStart w:id="34" w:name="index.xhtml#synergy-experience"/>
    <w:p>
      <w:pPr>
        <w:pStyle w:val="Heading1"/>
      </w:pPr>
      <w:r>
        <w:t xml:space="preserve">Инструкция по внедрению Synergy Experience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Первоначальная настройка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Install/upgrade configuration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Manual</w:t>
        </w:r>
      </w:hyperlink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2. Как использовать Synergy Experience</w:t>
        </w:r>
      </w:hyperlink>
    </w:p>
    <w:p>
      <w:pPr>
        <w:pStyle w:val="Compact"/>
        <w:numPr>
          <w:numId w:val="1003"/>
          <w:ilvl w:val="1"/>
        </w:numPr>
      </w:pPr>
      <w:hyperlink r:id="rId25">
        <w:r>
          <w:rPr>
            <w:rStyle w:val="Hyperlink"/>
          </w:rPr>
          <w:t xml:space="preserve">2.1. Общий порядок добавления новой услуги</w:t>
        </w:r>
      </w:hyperlink>
    </w:p>
    <w:p>
      <w:pPr>
        <w:pStyle w:val="Compact"/>
        <w:numPr>
          <w:numId w:val="1003"/>
          <w:ilvl w:val="1"/>
        </w:numPr>
      </w:pPr>
      <w:hyperlink r:id="rId26">
        <w:r>
          <w:rPr>
            <w:rStyle w:val="Hyperlink"/>
          </w:rPr>
          <w:t xml:space="preserve">2.2. Общий порядок добавления/редактировани пользователей</w:t>
        </w:r>
      </w:hyperlink>
    </w:p>
    <w:p>
      <w:pPr>
        <w:pStyle w:val="Compact"/>
        <w:numPr>
          <w:numId w:val="1003"/>
          <w:ilvl w:val="1"/>
        </w:numPr>
      </w:pPr>
      <w:hyperlink r:id="rId27">
        <w:r>
          <w:rPr>
            <w:rStyle w:val="Hyperlink"/>
          </w:rPr>
          <w:t xml:space="preserve">2.3. Общий порядок добавления подразделений</w:t>
        </w:r>
      </w:hyperlink>
    </w:p>
    <w:p>
      <w:pPr>
        <w:pStyle w:val="Compact"/>
        <w:numPr>
          <w:numId w:val="1003"/>
          <w:ilvl w:val="1"/>
        </w:numPr>
      </w:pPr>
      <w:hyperlink r:id="rId28">
        <w:r>
          <w:rPr>
            <w:rStyle w:val="Hyperlink"/>
          </w:rPr>
          <w:t xml:space="preserve">2.4. Процесс сбора отзывов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2.5. Процесс анализа отзывов</w:t>
        </w:r>
      </w:hyperlink>
    </w:p>
    <w:p>
      <w:pPr>
        <w:pStyle w:val="Compact"/>
        <w:numPr>
          <w:numId w:val="1003"/>
          <w:ilvl w:val="1"/>
        </w:numPr>
      </w:pPr>
      <w:hyperlink r:id="rId30">
        <w:r>
          <w:rPr>
            <w:rStyle w:val="Hyperlink"/>
          </w:rPr>
          <w:t xml:space="preserve">2.6. Процесс работы с картой путешествия потребителя (подмодуль Оценки, доступно только в Synergy)</w:t>
        </w:r>
      </w:hyperlink>
    </w:p>
    <w:p>
      <w:pPr>
        <w:pStyle w:val="Compact"/>
        <w:numPr>
          <w:numId w:val="1003"/>
          <w:ilvl w:val="1"/>
        </w:numPr>
      </w:pPr>
      <w:hyperlink r:id="rId31">
        <w:r>
          <w:rPr>
            <w:rStyle w:val="Hyperlink"/>
          </w:rPr>
          <w:t xml:space="preserve">2.7. Процесс управления проблемами (доступно только в Synergy)</w:t>
        </w:r>
      </w:hyperlink>
    </w:p>
    <w:p>
      <w:pPr>
        <w:pStyle w:val="Compact"/>
        <w:numPr>
          <w:numId w:val="1003"/>
          <w:ilvl w:val="1"/>
        </w:numPr>
      </w:pPr>
      <w:hyperlink r:id="rId32">
        <w:r>
          <w:rPr>
            <w:rStyle w:val="Hyperlink"/>
          </w:rPr>
          <w:t xml:space="preserve">2.8. Процесс работы с приложением Agent (Тайный покупатель)</w:t>
        </w:r>
      </w:hyperlink>
    </w:p>
    <w:p>
      <w:pPr>
        <w:pStyle w:val="Compact"/>
        <w:numPr>
          <w:numId w:val="1003"/>
          <w:ilvl w:val="1"/>
        </w:numPr>
      </w:pPr>
      <w:hyperlink r:id="rId33">
        <w:r>
          <w:rPr>
            <w:rStyle w:val="Hyperlink"/>
          </w:rPr>
          <w:t xml:space="preserve">2.9. Процесс работы с анкетами тайных покупателей (Модуль Тайный покупатель)</w:t>
        </w:r>
      </w:hyperlink>
    </w:p>
    <w:bookmarkEnd w:id="34"/>
    <w:p>
      <w:pPr>
        <w:pStyle w:val="FirstParagraph"/>
      </w:pPr>
      <w:bookmarkStart w:id="35" w:name="first_tuning.xhtml"/>
      <w:bookmarkEnd w:id="35"/>
    </w:p>
    <w:bookmarkStart w:id="40" w:name="first_tuning.xhtml#id1"/>
    <w:p>
      <w:pPr>
        <w:pStyle w:val="Heading1"/>
      </w:pPr>
      <w:r>
        <w:t xml:space="preserve">1. Первоначальная настройка</w:t>
      </w:r>
    </w:p>
    <w:bookmarkStart w:id="36" w:name="first_tuning.xhtml#install-upgrade-configuration"/>
    <w:p>
      <w:pPr>
        <w:pStyle w:val="Heading2"/>
      </w:pPr>
      <w:r>
        <w:t xml:space="preserve">1.1. Install/upgrade configuration</w:t>
      </w:r>
    </w:p>
    <w:p>
      <w:pPr>
        <w:numPr>
          <w:numId w:val="1004"/>
          <w:ilvl w:val="0"/>
        </w:numPr>
      </w:pPr>
      <w:r>
        <w:t xml:space="preserve">Добавить пользователей в группу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 </w:t>
      </w:r>
      <w:r>
        <w:t xml:space="preserve">(для прав админа).</w:t>
      </w:r>
    </w:p>
    <w:p>
      <w:pPr>
        <w:numPr>
          <w:numId w:val="1004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 </w:t>
      </w:r>
      <w:r>
        <w:t xml:space="preserve">предоставлены</w:t>
      </w:r>
      <w:r>
        <w:t xml:space="preserve"> </w:t>
      </w:r>
      <w:r>
        <w:t xml:space="preserve">права на реестры.</w:t>
      </w:r>
    </w:p>
    <w:p>
      <w:pPr>
        <w:numPr>
          <w:numId w:val="1004"/>
          <w:ilvl w:val="0"/>
        </w:numPr>
      </w:pPr>
      <w:r>
        <w:t xml:space="preserve">Проверить корректность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Проверить счетчики, при необходимости сбросить/обнулить.</w:t>
      </w:r>
    </w:p>
    <w:bookmarkEnd w:id="36"/>
    <w:bookmarkStart w:id="39" w:name="first_tuning.xhtml#manual"/>
    <w:p>
      <w:pPr>
        <w:pStyle w:val="Heading2"/>
      </w:pPr>
      <w:r>
        <w:t xml:space="preserve">1.2. Manual</w:t>
      </w:r>
    </w:p>
    <w:p>
      <w:pPr>
        <w:numPr>
          <w:numId w:val="1005"/>
          <w:ilvl w:val="0"/>
        </w:numPr>
      </w:pPr>
      <w:r>
        <w:t xml:space="preserve">Импортировать приложение Experience из архива</w:t>
      </w:r>
      <w:r>
        <w:t xml:space="preserve"> </w:t>
      </w:r>
      <w:r>
        <w:rPr>
          <w:rStyle w:val="VerbatimChar"/>
        </w:rPr>
        <w:t xml:space="preserve">/opt/synergy/apps/experience/app-experience.7zip</w:t>
      </w:r>
      <w:r>
        <w:t xml:space="preserve">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6"/>
          <w:ilvl w:val="1"/>
        </w:numPr>
      </w:pPr>
      <w:r>
        <w:t xml:space="preserve">При импорте приложения рекомендуем руководствоваться</w:t>
      </w:r>
      <w:r>
        <w:t xml:space="preserve"> </w:t>
      </w:r>
      <w:hyperlink r:id="rId37">
        <w:r>
          <w:rPr>
            <w:rStyle w:val="Hyperlink"/>
          </w:rPr>
          <w:t xml:space="preserve">документацией</w:t>
        </w:r>
      </w:hyperlink>
      <w:r>
        <w:t xml:space="preserve"> </w:t>
      </w:r>
      <w:r>
        <w:t xml:space="preserve">[http://tdd.lan.arta.kz/docs/synergy/tags/hamming/release-notes/html/app_export_import.html#app_import]</w:t>
      </w:r>
      <w:r>
        <w:t xml:space="preserve">.</w:t>
      </w:r>
    </w:p>
    <w:p>
      <w:pPr>
        <w:pStyle w:val="BlockText"/>
        <w:numPr>
          <w:numId w:val="1006"/>
          <w:ilvl w:val="1"/>
        </w:numPr>
      </w:pPr>
      <w:r>
        <w:t xml:space="preserve">Если на сервере уже был установлен продукт, следует</w:t>
      </w:r>
      <w:r>
        <w:t xml:space="preserve"> </w:t>
      </w:r>
      <w:r>
        <w:t xml:space="preserve">сверить номера версий приложения в архиве и на сервере,</w:t>
      </w:r>
      <w:r>
        <w:t xml:space="preserve"> </w:t>
      </w:r>
      <w:r>
        <w:t xml:space="preserve">при необходимости нужно увеличить номер версии в архиве.</w:t>
      </w:r>
    </w:p>
    <w:p>
      <w:pPr>
        <w:numPr>
          <w:numId w:val="1005"/>
          <w:ilvl w:val="0"/>
        </w:numPr>
      </w:pPr>
      <w:r>
        <w:t xml:space="preserve">Добавить пользователей в группу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 </w:t>
      </w:r>
      <w:r>
        <w:t xml:space="preserve">(для прав админа).</w:t>
      </w:r>
    </w:p>
    <w:p>
      <w:pPr>
        <w:numPr>
          <w:numId w:val="1005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 </w:t>
      </w:r>
      <w:r>
        <w:t xml:space="preserve">предоставлены</w:t>
      </w:r>
      <w:r>
        <w:t xml:space="preserve"> </w:t>
      </w:r>
      <w:r>
        <w:t xml:space="preserve">права на реестры.</w:t>
      </w:r>
    </w:p>
    <w:p>
      <w:pPr>
        <w:numPr>
          <w:numId w:val="1005"/>
          <w:ilvl w:val="0"/>
        </w:numPr>
      </w:pPr>
      <w:r>
        <w:t xml:space="preserve">Заменить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numPr>
          <w:numId w:val="1005"/>
          <w:ilvl w:val="0"/>
        </w:numPr>
      </w:pPr>
      <w:r>
        <w:t xml:space="preserve">Проверить счетчики, при необходимости сбросить/обнулить.</w:t>
      </w:r>
    </w:p>
    <w:p>
      <w:pPr>
        <w:numPr>
          <w:numId w:val="1005"/>
          <w:ilvl w:val="0"/>
        </w:numPr>
      </w:pPr>
      <w:r>
        <w:t xml:space="preserve">В Kibana создать следующие шаблон индексов:</w:t>
      </w:r>
    </w:p>
    <w:p>
      <w:pPr>
        <w:numPr>
          <w:numId w:val="1007"/>
          <w:ilvl w:val="1"/>
        </w:numPr>
      </w:pPr>
      <w:r>
        <w:rPr>
          <w:rStyle w:val="VerbatimChar"/>
        </w:rPr>
        <w:t xml:space="preserve">r-experience_registry_assessment</w:t>
      </w:r>
    </w:p>
    <w:p>
      <w:pPr>
        <w:numPr>
          <w:numId w:val="1005"/>
          <w:ilvl w:val="0"/>
        </w:numPr>
      </w:pPr>
      <w:r>
        <w:t xml:space="preserve">Импортировать визуализации из файла</w:t>
      </w:r>
      <w:r>
        <w:t xml:space="preserve"> </w:t>
      </w:r>
      <w:r>
        <w:rPr>
          <w:rStyle w:val="VerbatimChar"/>
        </w:rPr>
        <w:t xml:space="preserve">/opt/synergy/apps/experience/experience_visualizations.json</w:t>
      </w:r>
      <w:r>
        <w:t xml:space="preserve">.</w:t>
      </w:r>
    </w:p>
    <w:p>
      <w:pPr>
        <w:numPr>
          <w:numId w:val="1005"/>
          <w:ilvl w:val="0"/>
        </w:numPr>
      </w:pPr>
      <w:r>
        <w:t xml:space="preserve">Импортировать дашборды из файла</w:t>
      </w:r>
      <w:r>
        <w:t xml:space="preserve"> </w:t>
      </w:r>
      <w:r>
        <w:rPr>
          <w:rStyle w:val="VerbatimChar"/>
        </w:rPr>
        <w:t xml:space="preserve">/opt/synergy/apps/experience/experience_dashboards.json</w:t>
      </w:r>
      <w:r>
        <w:t xml:space="preserve">.</w:t>
      </w:r>
    </w:p>
    <w:p>
      <w:pPr>
        <w:numPr>
          <w:numId w:val="1005"/>
          <w:ilvl w:val="0"/>
        </w:numPr>
      </w:pPr>
      <w:r>
        <w:t xml:space="preserve">Если, после получения отзывов, отображается пустой дашборд, необходимо в настройке в параметре timepicker:timeDefaults прописать (дата подразумевает дату внедрения):</w:t>
      </w:r>
    </w:p>
    <w:p>
      <w:pPr>
        <w:pStyle w:val="BlockText"/>
      </w:pPr>
      <w:r>
        <w:t xml:space="preserve">«from»: «2021-01-01 00:00:00.000»,</w:t>
      </w:r>
      <w:r>
        <w:t xml:space="preserve"> </w:t>
      </w:r>
      <w:r>
        <w:t xml:space="preserve">«to»: «now»,</w:t>
      </w:r>
      <w:r>
        <w:t xml:space="preserve"> </w:t>
      </w:r>
      <w:r>
        <w:t xml:space="preserve">«mode»: «absolute»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Дополнительные подробности доступны в подробной документации о</w:t>
      </w:r>
      <w:r>
        <w:t xml:space="preserve"> </w:t>
      </w:r>
      <w:hyperlink r:id="rId38">
        <w:r>
          <w:rPr>
            <w:rStyle w:val="Hyperlink"/>
          </w:rPr>
          <w:t xml:space="preserve">Kibana</w:t>
        </w:r>
      </w:hyperlink>
      <w:r>
        <w:t xml:space="preserve"> </w:t>
      </w:r>
      <w:r>
        <w:t xml:space="preserve">[http://rtd.lan.arta.kz/docs/guide/ru/hamming/dashboards.html]</w:t>
      </w:r>
      <w:r>
        <w:t xml:space="preserve">.</w:t>
      </w:r>
    </w:p>
    <w:bookmarkEnd w:id="39"/>
    <w:bookmarkEnd w:id="40"/>
    <w:p>
      <w:pPr>
        <w:pStyle w:val="BodyText"/>
      </w:pPr>
      <w:bookmarkStart w:id="41" w:name="new_content.xhtml"/>
      <w:bookmarkEnd w:id="41"/>
    </w:p>
    <w:bookmarkStart w:id="58" w:name="new_content.xhtml#synergy-experience"/>
    <w:p>
      <w:pPr>
        <w:pStyle w:val="Heading1"/>
      </w:pPr>
      <w:r>
        <w:t xml:space="preserve">2. Как использовать Synergy Experience</w:t>
      </w:r>
    </w:p>
    <w:bookmarkStart w:id="42" w:name="new_content.xhtml#id1"/>
    <w:p>
      <w:pPr>
        <w:pStyle w:val="Heading2"/>
      </w:pPr>
      <w:r>
        <w:t xml:space="preserve">2.1. Общий порядок добавления новой услуги</w:t>
      </w:r>
    </w:p>
    <w:p>
      <w:pPr>
        <w:numPr>
          <w:numId w:val="1008"/>
          <w:ilvl w:val="0"/>
        </w:numPr>
      </w:pPr>
      <w:r>
        <w:t xml:space="preserve">Создать услугу в реестре «Услуги» в Синерджи, либо создать услугу в АРМ в модуле Настройки-Услуги. Создание минимум одной услуги обязательно!</w:t>
      </w:r>
    </w:p>
    <w:p>
      <w:pPr>
        <w:numPr>
          <w:numId w:val="1008"/>
          <w:ilvl w:val="0"/>
        </w:numPr>
      </w:pPr>
      <w:r>
        <w:t xml:space="preserve">Определить этапы взаимодействия (путь потребителя). Один этап -</w:t>
      </w:r>
      <w:r>
        <w:t xml:space="preserve"> </w:t>
      </w:r>
      <w:r>
        <w:t xml:space="preserve">одна новая запись в реестре «Этапы услуг». На карте CJM (доступно только в Synergy) этапы</w:t>
      </w:r>
      <w:r>
        <w:t xml:space="preserve"> </w:t>
      </w:r>
      <w:r>
        <w:t xml:space="preserve">соответствуют столбцам таблицы.</w:t>
      </w:r>
    </w:p>
    <w:p>
      <w:pPr>
        <w:numPr>
          <w:numId w:val="1000"/>
          <w:ilvl w:val="0"/>
        </w:numPr>
      </w:pPr>
      <w:r>
        <w:t xml:space="preserve">Важно</w:t>
      </w:r>
    </w:p>
    <w:p>
      <w:pPr>
        <w:numPr>
          <w:numId w:val="1000"/>
          <w:ilvl w:val="0"/>
        </w:numPr>
      </w:pPr>
      <w:r>
        <w:t xml:space="preserve">У этапа/вопроса по NPS порядковый номер всегда должен быть 6</w:t>
      </w:r>
    </w:p>
    <w:p>
      <w:pPr>
        <w:numPr>
          <w:numId w:val="1008"/>
          <w:ilvl w:val="0"/>
        </w:numPr>
      </w:pPr>
      <w:r>
        <w:t xml:space="preserve">Определить показатели услуги для карты CJM (доступно только в Synergy). Один показатель -</w:t>
      </w:r>
      <w:r>
        <w:t xml:space="preserve"> </w:t>
      </w:r>
      <w:r>
        <w:t xml:space="preserve">одна новая запись в реестре «Действия для услуги». На карте CJM</w:t>
      </w:r>
      <w:r>
        <w:t xml:space="preserve"> </w:t>
      </w:r>
      <w:r>
        <w:t xml:space="preserve">показатели соответствуют строкам таблицы.</w:t>
      </w:r>
    </w:p>
    <w:p>
      <w:pPr>
        <w:numPr>
          <w:numId w:val="1000"/>
          <w:ilvl w:val="0"/>
        </w:numPr>
      </w:pPr>
      <w:r>
        <w:t xml:space="preserve">Важно</w:t>
      </w:r>
    </w:p>
    <w:p>
      <w:pPr>
        <w:numPr>
          <w:numId w:val="1000"/>
          <w:ilvl w:val="0"/>
        </w:numPr>
      </w:pPr>
      <w:r>
        <w:t xml:space="preserve">Показатель, соответствующий графу оценок, должен</w:t>
      </w:r>
      <w:r>
        <w:t xml:space="preserve"> </w:t>
      </w:r>
      <w:r>
        <w:t xml:space="preserve">иметь код</w:t>
      </w:r>
      <w:r>
        <w:t xml:space="preserve"> </w:t>
      </w:r>
      <w:r>
        <w:rPr>
          <w:rStyle w:val="VerbatimChar"/>
        </w:rPr>
        <w:t xml:space="preserve">#dashboard</w:t>
      </w:r>
      <w:r>
        <w:t xml:space="preserve">, прочие показатели - произвольный</w:t>
      </w:r>
      <w:r>
        <w:t xml:space="preserve"> </w:t>
      </w:r>
      <w:r>
        <w:t xml:space="preserve">код.</w:t>
      </w:r>
    </w:p>
    <w:p>
      <w:pPr>
        <w:pStyle w:val="FirstParagraph"/>
      </w:pPr>
      <w:r>
        <w:t xml:space="preserve">Готово, новую услугу можно использовать во внешнем модуле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pStyle w:val="BodyText"/>
      </w:pPr>
      <w:r>
        <w:t xml:space="preserve">Приведем пример этапов услуги предоставления спортзала.</w:t>
      </w:r>
    </w:p>
    <w:tbl>
      <w:tblPr>
        <w:tblStyle w:val="Table"/>
        <w:tblW w:type="pct" w:w="5000.0"/>
        <w:tblLook w:firstRow="1"/>
      </w:tblPr>
      <w:tblGrid>
        <w:gridCol w:w="792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Этапы</w:t>
            </w:r>
          </w:p>
        </w:tc>
      </w:tr>
      <w:tr>
        <w:tc>
          <w:p>
            <w:pPr>
              <w:jc w:val="left"/>
            </w:pPr>
            <w:r>
              <w:t xml:space="preserve">Возникновение потребности</w:t>
            </w:r>
          </w:p>
        </w:tc>
      </w:tr>
      <w:tr>
        <w:tc>
          <w:p>
            <w:pPr>
              <w:jc w:val="left"/>
            </w:pPr>
            <w:r>
              <w:t xml:space="preserve">Интерес</w:t>
            </w:r>
          </w:p>
        </w:tc>
      </w:tr>
      <w:tr>
        <w:tc>
          <w:p>
            <w:pPr>
              <w:jc w:val="left"/>
            </w:pPr>
            <w:r>
              <w:t xml:space="preserve">Исследование</w:t>
            </w:r>
          </w:p>
        </w:tc>
      </w:tr>
      <w:tr>
        <w:tc>
          <w:p>
            <w:pPr>
              <w:jc w:val="left"/>
            </w:pPr>
            <w:r>
              <w:t xml:space="preserve">Покупка абонемента</w:t>
            </w:r>
          </w:p>
        </w:tc>
      </w:tr>
      <w:tr>
        <w:tc>
          <w:p>
            <w:pPr>
              <w:jc w:val="left"/>
            </w:pPr>
            <w:r>
              <w:t xml:space="preserve">Первое посещение</w:t>
            </w:r>
          </w:p>
        </w:tc>
      </w:tr>
      <w:tr>
        <w:tc>
          <w:p>
            <w:pPr>
              <w:jc w:val="left"/>
            </w:pPr>
            <w:r>
              <w:t xml:space="preserve">Повторные регулярные посещения</w:t>
            </w:r>
          </w:p>
        </w:tc>
      </w:tr>
      <w:tr>
        <w:tc>
          <w:p>
            <w:pPr>
              <w:jc w:val="left"/>
            </w:pPr>
            <w:r>
              <w:t xml:space="preserve">Становление постоянным клиентом</w:t>
            </w:r>
          </w:p>
        </w:tc>
      </w:tr>
      <w:tr>
        <w:tc>
          <w:p>
            <w:pPr>
              <w:jc w:val="left"/>
            </w:pPr>
            <w:r>
              <w:t xml:space="preserve">Рекомендация друзьям</w:t>
            </w:r>
          </w:p>
        </w:tc>
      </w:tr>
    </w:tbl>
    <w:tbl>
      <w:tblPr>
        <w:tblStyle w:val="Table"/>
        <w:tblW w:type="pct" w:w="5000.0"/>
        <w:tblLook w:firstRow="1"/>
      </w:tblPr>
      <w:tblGrid>
        <w:gridCol w:w="5306"/>
        <w:gridCol w:w="261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Действия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Код</w:t>
            </w:r>
          </w:p>
        </w:tc>
      </w:tr>
      <w:tr>
        <w:tc>
          <w:p>
            <w:pPr>
              <w:jc w:val="left"/>
            </w:pPr>
            <w:r>
              <w:t xml:space="preserve">Цель потребителя</w:t>
            </w:r>
          </w:p>
        </w:tc>
        <w:tc>
          <w:p>
            <w:pPr>
              <w:jc w:val="left"/>
            </w:pPr>
            <w:r>
              <w:t xml:space="preserve">#target</w:t>
            </w:r>
          </w:p>
        </w:tc>
      </w:tr>
      <w:tr>
        <w:tc>
          <w:p>
            <w:pPr>
              <w:jc w:val="left"/>
            </w:pPr>
            <w:r>
              <w:t xml:space="preserve">Каналы взаимодействия</w:t>
            </w:r>
          </w:p>
        </w:tc>
        <w:tc>
          <w:p>
            <w:pPr>
              <w:jc w:val="left"/>
            </w:pPr>
            <w:r>
              <w:t xml:space="preserve">#canal</w:t>
            </w:r>
          </w:p>
        </w:tc>
      </w:tr>
      <w:tr>
        <w:tc>
          <w:p>
            <w:pPr>
              <w:jc w:val="left"/>
            </w:pPr>
            <w:r>
              <w:t xml:space="preserve">Процесс взаимодействия</w:t>
            </w:r>
          </w:p>
        </w:tc>
        <w:tc>
          <w:p>
            <w:pPr>
              <w:jc w:val="left"/>
            </w:pPr>
            <w:r>
              <w:t xml:space="preserve">#process</w:t>
            </w:r>
          </w:p>
        </w:tc>
      </w:tr>
      <w:tr>
        <w:tc>
          <w:p>
            <w:pPr>
              <w:jc w:val="left"/>
            </w:pPr>
            <w:r>
              <w:t xml:space="preserve">Опыт потребителя</w:t>
            </w:r>
          </w:p>
        </w:tc>
        <w:tc>
          <w:p>
            <w:pPr>
              <w:jc w:val="left"/>
            </w:pPr>
            <w:r>
              <w:t xml:space="preserve">#dashboard</w:t>
            </w:r>
          </w:p>
        </w:tc>
      </w:tr>
      <w:tr>
        <w:tc>
          <w:p>
            <w:pPr>
              <w:jc w:val="left"/>
            </w:pPr>
            <w:r>
              <w:t xml:space="preserve">Барьеры, проблемы</w:t>
            </w:r>
          </w:p>
        </w:tc>
        <w:tc>
          <w:p>
            <w:pPr>
              <w:jc w:val="left"/>
            </w:pPr>
            <w:r>
              <w:t xml:space="preserve">problems</w:t>
            </w:r>
          </w:p>
        </w:tc>
      </w:tr>
      <w:tr>
        <w:tc>
          <w:p>
            <w:pPr>
              <w:jc w:val="left"/>
            </w:pPr>
            <w:r>
              <w:t xml:space="preserve">Идеи и решения</w:t>
            </w:r>
          </w:p>
        </w:tc>
        <w:tc>
          <w:p>
            <w:pPr>
              <w:jc w:val="left"/>
            </w:pPr>
            <w:r>
              <w:t xml:space="preserve">#ideas</w:t>
            </w:r>
          </w:p>
        </w:tc>
      </w:tr>
    </w:tbl>
    <w:bookmarkEnd w:id="42"/>
    <w:bookmarkStart w:id="43" w:name="new_content.xhtml#id2"/>
    <w:p>
      <w:pPr>
        <w:pStyle w:val="Heading2"/>
      </w:pPr>
      <w:r>
        <w:t xml:space="preserve">2.2. Общий порядок добавления/редактировани пользователей</w:t>
      </w:r>
    </w:p>
    <w:p>
      <w:pPr>
        <w:numPr>
          <w:numId w:val="1009"/>
          <w:ilvl w:val="0"/>
        </w:numPr>
      </w:pPr>
      <w:r>
        <w:t xml:space="preserve">Для настройки пользователей в первую очередь необходимо настроить орг. структуру в SynergyAdmin.</w:t>
      </w:r>
    </w:p>
    <w:p>
      <w:pPr>
        <w:pStyle w:val="DefinitionTerm"/>
        <w:numPr>
          <w:numId w:val="1009"/>
          <w:ilvl w:val="0"/>
        </w:numPr>
      </w:pPr>
      <w:r>
        <w:t xml:space="preserve">Все пользователи должны быть разбиты на 5 групп:</w:t>
      </w:r>
    </w:p>
    <w:p>
      <w:pPr>
        <w:pStyle w:val="Definition"/>
        <w:numPr>
          <w:numId w:val="1010"/>
          <w:ilvl w:val="1"/>
        </w:numPr>
      </w:pPr>
      <w:r>
        <w:t xml:space="preserve">Experience (группа пользоваетлей с кодом experience). В данной группе должны находиться пользователи с правами администратора, им будут доступны все модули, включая модуль Настройки;</w:t>
      </w:r>
    </w:p>
    <w:p>
      <w:pPr>
        <w:pStyle w:val="Definition"/>
        <w:numPr>
          <w:numId w:val="1010"/>
          <w:ilvl w:val="1"/>
        </w:numPr>
      </w:pPr>
      <w:r>
        <w:t xml:space="preserve">Головной офис (hq). В данной группе должны находиться пользователи относящиеся к головному офису/центральному аппарату. Данной группе будут доступны все модули, кроме модуля Настройки;</w:t>
      </w:r>
    </w:p>
    <w:p>
      <w:pPr>
        <w:pStyle w:val="Definition"/>
        <w:numPr>
          <w:numId w:val="1010"/>
          <w:ilvl w:val="1"/>
        </w:numPr>
      </w:pPr>
      <w:r>
        <w:t xml:space="preserve">Регионы (location). В данной группе должны находиться пользователи относящиеся к руководству/сотрудникам филиала/региона. Данной группе будут доступны все модули, кроме модуля Настройки. Во вкладке Мое подразделение будут отображаться отзывы относящиеся только к их филиалу/региону;</w:t>
      </w:r>
    </w:p>
    <w:p>
      <w:pPr>
        <w:pStyle w:val="Definition"/>
        <w:numPr>
          <w:numId w:val="1010"/>
          <w:ilvl w:val="1"/>
        </w:numPr>
      </w:pPr>
      <w:r>
        <w:t xml:space="preserve">Подразделения (subdivision). В данной группе должны находиться пользователи относящиеся непосредственно к руководству подразделения, т.е. начальники и их заместители. Данной группе будут доступны модули Отзывы и Аналитика. Во вкладке Мое подразделение будут отображаться отзывы относящиеся только к их подразделению.</w:t>
      </w:r>
    </w:p>
    <w:p>
      <w:pPr>
        <w:pStyle w:val="Definition"/>
        <w:numPr>
          <w:numId w:val="1010"/>
          <w:ilvl w:val="1"/>
        </w:numPr>
      </w:pPr>
      <w:r>
        <w:t xml:space="preserve">Тайный покупатель (ms). В данной группе должны находиться пользователи относящиеся к Тайным покупателям, которые непосредственно проводят анкетирование в подразделениях. Данной группе будет предоставлен доступ к приложени Agent.</w:t>
      </w:r>
    </w:p>
    <w:p>
      <w:pPr>
        <w:pStyle w:val="Definition"/>
        <w:numPr>
          <w:numId w:val="1010"/>
          <w:ilvl w:val="1"/>
        </w:numPr>
      </w:pPr>
      <w:r>
        <w:t xml:space="preserve">Проверить, что группе пользователей предоставлены права на реестры, в том числе в соответствующих фильтрах реестра Сводная анкета.</w:t>
      </w:r>
    </w:p>
    <w:p>
      <w:pPr>
        <w:numPr>
          <w:numId w:val="1009"/>
          <w:ilvl w:val="0"/>
        </w:numPr>
      </w:pPr>
      <w:r>
        <w:t xml:space="preserve">Настройки параметров авторизации (логин и пароль), а также фото профиля, доступно в АРМ в блоке Личные данные. Для этого необходимо навести на имя пользователя и во всплывающем меню выбрать Настройки.</w:t>
      </w:r>
    </w:p>
    <w:bookmarkEnd w:id="43"/>
    <w:bookmarkStart w:id="44" w:name="new_content.xhtml#id3"/>
    <w:p>
      <w:pPr>
        <w:pStyle w:val="Heading2"/>
      </w:pPr>
      <w:r>
        <w:t xml:space="preserve">2.3. Общий порядок добавления подразделений</w:t>
      </w:r>
    </w:p>
    <w:p>
      <w:pPr>
        <w:numPr>
          <w:numId w:val="1011"/>
          <w:ilvl w:val="0"/>
        </w:numPr>
      </w:pPr>
      <w:r>
        <w:t xml:space="preserve">Для разделения отделений по городам в первую очередь необходимо в конфигураторе обновить справочник Расположения. По умолчанию добавлены крупные города и области Казахстана.</w:t>
      </w:r>
    </w:p>
    <w:p>
      <w:pPr>
        <w:pStyle w:val="DefinitionTerm"/>
        <w:numPr>
          <w:numId w:val="1011"/>
          <w:ilvl w:val="0"/>
        </w:numPr>
      </w:pPr>
      <w:r>
        <w:t xml:space="preserve">Для создания Подразделения необходимо:</w:t>
      </w:r>
    </w:p>
    <w:p>
      <w:pPr>
        <w:pStyle w:val="Definition"/>
        <w:numPr>
          <w:numId w:val="1012"/>
          <w:ilvl w:val="1"/>
        </w:numPr>
      </w:pPr>
      <w:r>
        <w:t xml:space="preserve">сперва создать все подразделения в орг. структуре, прикрепив к каждому поразделению Начальника, в случае с филиалом/регионом добавить всех сотрудников как заместителей и поставить галочки напротив всех подразделений филиала;</w:t>
      </w:r>
    </w:p>
    <w:p>
      <w:pPr>
        <w:pStyle w:val="Definition"/>
        <w:numPr>
          <w:numId w:val="1012"/>
          <w:ilvl w:val="1"/>
        </w:numPr>
      </w:pPr>
      <w:r>
        <w:t xml:space="preserve">далее создать запись в реестре Подразделения, заполнив поле Наименование подразделения, выбрать город/регион/филиал из справочника, присвоить код (произвольно, но коды не должны повторятся), указать ссылку на подразделение из орг. структуры, указать ссылку на город/регион/филиал из орг. структуры.</w:t>
      </w:r>
    </w:p>
    <w:p>
      <w:pPr>
        <w:pStyle w:val="Definition"/>
        <w:numPr>
          <w:numId w:val="1012"/>
          <w:ilvl w:val="1"/>
        </w:numPr>
      </w:pPr>
      <w:r>
        <w:t xml:space="preserve">настроить Группы пользователей для отображение отзывов по подразделениям (см. выше).</w:t>
      </w:r>
    </w:p>
    <w:p>
      <w:pPr>
        <w:pStyle w:val="Definition"/>
        <w:numPr>
          <w:numId w:val="1012"/>
          <w:ilvl w:val="1"/>
        </w:numPr>
      </w:pPr>
      <w:r>
        <w:t xml:space="preserve">Проверить, что группе пользователей предоставлены права на реестры, в том числе в соответствующих фильтрах реестра Сводная анкета.</w:t>
      </w:r>
    </w:p>
    <w:bookmarkEnd w:id="44"/>
    <w:bookmarkStart w:id="48" w:name="new_content.xhtml#id4"/>
    <w:p>
      <w:pPr>
        <w:pStyle w:val="Heading2"/>
      </w:pPr>
      <w:r>
        <w:t xml:space="preserve">2.4. Процесс сбора отзывов</w:t>
      </w:r>
    </w:p>
    <w:p>
      <w:pPr>
        <w:pStyle w:val="DefinitionTerm"/>
        <w:numPr>
          <w:numId w:val="1013"/>
          <w:ilvl w:val="0"/>
        </w:numPr>
      </w:pPr>
      <w:r>
        <w:t xml:space="preserve">Сбор отзывов происходит посредством формы Опрос. В первую очередь необходимо настроить данную форму:</w:t>
      </w:r>
    </w:p>
    <w:p>
      <w:pPr>
        <w:pStyle w:val="Definition"/>
        <w:numPr>
          <w:numId w:val="1014"/>
          <w:ilvl w:val="1"/>
        </w:numPr>
      </w:pPr>
      <w:r>
        <w:t xml:space="preserve">корректно сформулировать вопросы согласно этапам в компонентах cjm_question1_label, cjm_question2_label и т.д. В сулчае использования формы на других языках, необходимо настроить переводы;</w:t>
      </w:r>
    </w:p>
    <w:p>
      <w:pPr>
        <w:pStyle w:val="Definition"/>
        <w:numPr>
          <w:numId w:val="1014"/>
          <w:ilvl w:val="1"/>
        </w:numPr>
      </w:pPr>
      <w:r>
        <w:t xml:space="preserve">зафиксировать этапы под каждым вопросом в компонентах cjm_question1, cjm_question2 и т.д., выбрав этап из реестра, соответствующий вопросу;</w:t>
      </w:r>
    </w:p>
    <w:p>
      <w:pPr>
        <w:pStyle w:val="Definition"/>
        <w:numPr>
          <w:numId w:val="1014"/>
          <w:ilvl w:val="1"/>
        </w:numPr>
      </w:pPr>
      <w:r>
        <w:t xml:space="preserve">удалить, либо добавить компоненты связанные с вопросом (в зависимости от количества этапов);</w:t>
      </w:r>
    </w:p>
    <w:p>
      <w:pPr>
        <w:pStyle w:val="Definition"/>
        <w:numPr>
          <w:numId w:val="1014"/>
          <w:ilvl w:val="1"/>
        </w:numPr>
      </w:pPr>
      <w:r>
        <w:t xml:space="preserve">для добавления расшифровки оценок, необходимо в компонентах с кодами cjm_assessment1, cjm_assessment2 и т.д., в скрипте настроить текст расшифровки.</w:t>
      </w:r>
    </w:p>
    <w:p>
      <w:pPr>
        <w:pStyle w:val="Definition"/>
        <w:numPr>
          <w:numId w:val="1014"/>
          <w:ilvl w:val="1"/>
        </w:numPr>
      </w:pPr>
      <w:r>
        <w:t xml:space="preserve">настроить Условные действия (comment) с Комментариями (в зависимости от количества этапов);</w:t>
      </w:r>
    </w:p>
    <w:p>
      <w:pPr>
        <w:pStyle w:val="Definition"/>
        <w:numPr>
          <w:numId w:val="1014"/>
          <w:ilvl w:val="1"/>
        </w:numPr>
      </w:pPr>
      <w:r>
        <w:t xml:space="preserve">убедиться, что в переключателе вариантов НЕ выбрана оценка (компоненты cjm_assessment1, cjm_assessment2 и т.д.);</w:t>
      </w:r>
    </w:p>
    <w:p>
      <w:pPr>
        <w:pStyle w:val="Definition"/>
        <w:numPr>
          <w:numId w:val="1014"/>
          <w:ilvl w:val="1"/>
        </w:numPr>
      </w:pPr>
      <w:r>
        <w:t xml:space="preserve">внести id услуги в скрипт cjm_service_name в строке model.defaultValue. По умолчанию Услуга скрыта на форме, в случае, если планируется вводить несколько услуг, необходимо удалить из скрипта 3 и 4 строки, и сделать компонент Услуга открытым.</w:t>
      </w:r>
    </w:p>
    <w:p>
      <w:pPr>
        <w:pStyle w:val="Definition"/>
        <w:numPr>
          <w:numId w:val="1014"/>
          <w:ilvl w:val="1"/>
        </w:numPr>
      </w:pPr>
      <w:r>
        <w:t xml:space="preserve">сохранить форму.</w:t>
      </w:r>
    </w:p>
    <w:p>
      <w:pPr>
        <w:pStyle w:val="DefinitionTerm"/>
        <w:numPr>
          <w:numId w:val="1013"/>
          <w:ilvl w:val="0"/>
        </w:numPr>
      </w:pPr>
      <w:r>
        <w:t xml:space="preserve">Варианты сбора отзывов:</w:t>
      </w:r>
    </w:p>
    <w:p>
      <w:pPr>
        <w:pStyle w:val="Definition"/>
        <w:numPr>
          <w:numId w:val="1015"/>
          <w:ilvl w:val="1"/>
        </w:numPr>
      </w:pPr>
      <w:r>
        <w:t xml:space="preserve">в ручную, путем создания записи в реестре Сводная оценка (доступно только в Synergy);</w:t>
      </w:r>
    </w:p>
    <w:p>
      <w:pPr>
        <w:pStyle w:val="Definition"/>
        <w:numPr>
          <w:numId w:val="1015"/>
          <w:ilvl w:val="1"/>
        </w:numPr>
      </w:pPr>
      <w:r>
        <w:t xml:space="preserve">через универсальную web-форму. В данном случае клиент сам будет выбирать Регион и Подразделение на форме. Ссылка на форму формируется по принципу &lt;host&gt;/&lt;URL&gt; (URL приложения конструктора), к примеру:</w:t>
      </w:r>
      <w:r>
        <w:t xml:space="preserve"> </w:t>
      </w:r>
      <w:hyperlink r:id="rId45">
        <w:r>
          <w:rPr>
            <w:rStyle w:val="Hyperlink"/>
          </w:rPr>
          <w:t xml:space="preserve">http://experience.arta.pro/feedback_form</w:t>
        </w:r>
      </w:hyperlink>
      <w:r>
        <w:t xml:space="preserve">.</w:t>
      </w:r>
    </w:p>
    <w:p>
      <w:pPr>
        <w:pStyle w:val="Definition"/>
        <w:numPr>
          <w:numId w:val="1015"/>
          <w:ilvl w:val="1"/>
        </w:numPr>
      </w:pPr>
      <w:r>
        <w:t xml:space="preserve">через индивидуальную web-форму. В данном случае Регион и Подразделение вшиты в url. Ссылка на форму формируется по принципу &lt;host&gt;/&lt;URL&gt;/расположение, где URL - URL приложения конструктора, расположение - ?location=код подразделения, к примеру:</w:t>
      </w:r>
      <w:r>
        <w:t xml:space="preserve"> </w:t>
      </w:r>
      <w:hyperlink r:id="rId46">
        <w:r>
          <w:rPr>
            <w:rStyle w:val="Hyperlink"/>
          </w:rPr>
          <w:t xml:space="preserve">http://experience.arta.pro/feedback_form/?location=1</w:t>
        </w:r>
      </w:hyperlink>
    </w:p>
    <w:p>
      <w:pPr>
        <w:pStyle w:val="Definition"/>
        <w:numPr>
          <w:numId w:val="1015"/>
          <w:ilvl w:val="1"/>
        </w:numPr>
      </w:pPr>
      <w:r>
        <w:t xml:space="preserve">через индивидуальную web-форму с источником. В данном случае Регион, Подразделение и Источник отзыва вшиты в url. Ссылка на форму формируется по принципу &lt;host&gt;/&lt;URL&gt;/расположение&amp;источник, где URL - URL приложения конструктора, расположение - ?location=код подразделения, источник - resource=код источника, к примеру:</w:t>
      </w:r>
      <w:r>
        <w:t xml:space="preserve"> </w:t>
      </w:r>
      <w:hyperlink r:id="rId47">
        <w:r>
          <w:rPr>
            <w:rStyle w:val="Hyperlink"/>
          </w:rPr>
          <w:t xml:space="preserve">http://experience.arta.pro/feedback_form/?location=1&amp;resource=2</w:t>
        </w:r>
      </w:hyperlink>
    </w:p>
    <w:p>
      <w:pPr>
        <w:numPr>
          <w:numId w:val="1013"/>
          <w:ilvl w:val="0"/>
        </w:numPr>
      </w:pPr>
      <w:r>
        <w:t xml:space="preserve">Все отзывы (опросы) в первую очередь приходят в реестр Сводная анкета, далее с помощью блок-процесса каждый опрос дублируется в реестр Отзывы, разбивая опрос на несколько отзывов, в зависимости от количества вопросов, т.е. одна запись будет равна одной оценке одного этапа.</w:t>
      </w:r>
    </w:p>
    <w:p>
      <w:pPr>
        <w:numPr>
          <w:numId w:val="1013"/>
          <w:ilvl w:val="0"/>
        </w:numPr>
      </w:pPr>
      <w:r>
        <w:t xml:space="preserve">В конце необходимо настроить поля формы реестров Сводная анкета.</w:t>
      </w:r>
    </w:p>
    <w:bookmarkEnd w:id="48"/>
    <w:bookmarkStart w:id="49" w:name="new_content.xhtml#id5"/>
    <w:p>
      <w:pPr>
        <w:pStyle w:val="Heading2"/>
      </w:pPr>
      <w:r>
        <w:t xml:space="preserve">2.5. Процесс анализа отзывов</w:t>
      </w:r>
    </w:p>
    <w:p>
      <w:pPr>
        <w:numPr>
          <w:numId w:val="1016"/>
          <w:ilvl w:val="0"/>
        </w:numPr>
      </w:pPr>
      <w:r>
        <w:t xml:space="preserve">Переходите в модуль «Experience» -&gt; «Аналитика». Дашборд вы можете настроить в Kibana по своему усмотрению.</w:t>
      </w:r>
    </w:p>
    <w:p>
      <w:pPr>
        <w:numPr>
          <w:numId w:val="1016"/>
          <w:ilvl w:val="0"/>
        </w:numPr>
      </w:pPr>
      <w:r>
        <w:t xml:space="preserve">Переходите в модуль «Experience» -&gt; «Оценки» (доступно только в Synergy) и выбирайте услугу.</w:t>
      </w:r>
    </w:p>
    <w:p>
      <w:pPr>
        <w:pStyle w:val="DefinitionTerm"/>
        <w:numPr>
          <w:numId w:val="1016"/>
          <w:ilvl w:val="0"/>
        </w:numPr>
      </w:pPr>
      <w:r>
        <w:t xml:space="preserve">При необходимости, используйте один или несколько фильтров:</w:t>
      </w:r>
    </w:p>
    <w:p>
      <w:pPr>
        <w:pStyle w:val="Definition"/>
        <w:numPr>
          <w:numId w:val="1017"/>
          <w:ilvl w:val="1"/>
        </w:numPr>
      </w:pPr>
      <w:r>
        <w:t xml:space="preserve">услуга</w:t>
      </w:r>
    </w:p>
    <w:p>
      <w:pPr>
        <w:pStyle w:val="Definition"/>
        <w:numPr>
          <w:numId w:val="1017"/>
          <w:ilvl w:val="1"/>
        </w:numPr>
      </w:pPr>
      <w:r>
        <w:t xml:space="preserve">период времени</w:t>
      </w:r>
    </w:p>
    <w:p>
      <w:pPr>
        <w:pStyle w:val="Definition"/>
        <w:numPr>
          <w:numId w:val="1017"/>
          <w:ilvl w:val="1"/>
        </w:numPr>
      </w:pPr>
      <w:r>
        <w:t xml:space="preserve">расположение</w:t>
      </w:r>
    </w:p>
    <w:p>
      <w:pPr>
        <w:pStyle w:val="Definition"/>
        <w:numPr>
          <w:numId w:val="1017"/>
          <w:ilvl w:val="1"/>
        </w:numPr>
      </w:pPr>
      <w:r>
        <w:t xml:space="preserve">отображение карты CJM</w:t>
      </w:r>
    </w:p>
    <w:p>
      <w:pPr>
        <w:pStyle w:val="Definition"/>
        <w:numPr>
          <w:numId w:val="1017"/>
          <w:ilvl w:val="1"/>
        </w:numPr>
      </w:pPr>
      <w:r>
        <w:t xml:space="preserve">отображение скрытых элементов на карте</w:t>
      </w:r>
    </w:p>
    <w:p>
      <w:pPr>
        <w:pStyle w:val="Definition"/>
        <w:numPr>
          <w:numId w:val="1017"/>
          <w:ilvl w:val="1"/>
        </w:numPr>
      </w:pPr>
      <w:r>
        <w:t xml:space="preserve">количество комментариев на странице</w:t>
      </w:r>
    </w:p>
    <w:p>
      <w:pPr>
        <w:pStyle w:val="Definition"/>
        <w:numPr>
          <w:numId w:val="1017"/>
          <w:ilvl w:val="1"/>
        </w:numPr>
      </w:pPr>
      <w:r>
        <w:t xml:space="preserve">тип оценки</w:t>
      </w:r>
    </w:p>
    <w:p>
      <w:pPr>
        <w:numPr>
          <w:numId w:val="1016"/>
          <w:ilvl w:val="0"/>
        </w:numPr>
      </w:pPr>
      <w:r>
        <w:t xml:space="preserve">Граф отображает среднюю оценку в разрезе этапов выбранной услуги</w:t>
      </w:r>
      <w:r>
        <w:t xml:space="preserve"> </w:t>
      </w:r>
      <w:r>
        <w:t xml:space="preserve">согласно текущим значениям фильтров.</w:t>
      </w:r>
    </w:p>
    <w:p>
      <w:pPr>
        <w:numPr>
          <w:numId w:val="1016"/>
          <w:ilvl w:val="0"/>
        </w:numPr>
      </w:pPr>
      <w:r>
        <w:t xml:space="preserve">По нажатию на среднюю оценку доступен подробный список всех</w:t>
      </w:r>
      <w:r>
        <w:t xml:space="preserve"> </w:t>
      </w:r>
      <w:r>
        <w:t xml:space="preserve">оценок, которые попадают в текущие значения фильтров.</w:t>
      </w:r>
    </w:p>
    <w:bookmarkEnd w:id="49"/>
    <w:bookmarkStart w:id="53" w:name="new_content.xhtml#synergy"/>
    <w:p>
      <w:pPr>
        <w:pStyle w:val="Heading2"/>
      </w:pPr>
      <w:r>
        <w:t xml:space="preserve">2.6. Процесс работы с картой путешествия потребителя (подмодуль Оценки, доступно только в Synergy)</w:t>
      </w:r>
    </w:p>
    <w:p>
      <w:pPr>
        <w:numPr>
          <w:numId w:val="1018"/>
          <w:ilvl w:val="0"/>
        </w:numPr>
      </w:pPr>
      <w:r>
        <w:t xml:space="preserve">Переходите в модуль «Experience» -&gt; «Оценки» и выбирайте услугу.</w:t>
      </w:r>
    </w:p>
    <w:p>
      <w:pPr>
        <w:numPr>
          <w:numId w:val="1018"/>
          <w:ilvl w:val="0"/>
        </w:numPr>
      </w:pPr>
      <w:r>
        <w:t xml:space="preserve">Отобразите карту CJM (по умолчанию, отображается только граф</w:t>
      </w:r>
      <w:r>
        <w:t xml:space="preserve"> </w:t>
      </w:r>
      <w:r>
        <w:t xml:space="preserve">оценок).</w:t>
      </w:r>
    </w:p>
    <w:p>
      <w:pPr>
        <w:numPr>
          <w:numId w:val="1018"/>
          <w:ilvl w:val="0"/>
        </w:numPr>
      </w:pPr>
      <w:r>
        <w:t xml:space="preserve">Управляйте элементами карты: доступно добавление, редактирование</w:t>
      </w:r>
      <w:r>
        <w:t xml:space="preserve"> </w:t>
      </w:r>
      <w:r>
        <w:t xml:space="preserve">и скрытие плашек, форматирование текста средствами</w:t>
      </w:r>
      <w:r>
        <w:t xml:space="preserve"> </w:t>
      </w:r>
      <w:hyperlink r:id="rId50">
        <w:r>
          <w:rPr>
            <w:rStyle w:val="Hyperlink"/>
          </w:rPr>
          <w:t xml:space="preserve">HTML</w:t>
        </w:r>
      </w:hyperlink>
      <w:r>
        <w:t xml:space="preserve"> </w:t>
      </w:r>
      <w:r>
        <w:t xml:space="preserve">[http://htmlbook.ru/content/formatirovanie-teksta]</w:t>
      </w:r>
      <w:r>
        <w:t xml:space="preserve">,</w:t>
      </w:r>
      <w:r>
        <w:t xml:space="preserve"> </w:t>
      </w:r>
      <w:r>
        <w:t xml:space="preserve">выделение текста и плашки цветом.</w:t>
      </w:r>
    </w:p>
    <w:p>
      <w:pPr>
        <w:numPr>
          <w:numId w:val="1018"/>
          <w:ilvl w:val="0"/>
        </w:numPr>
      </w:pPr>
      <w:r>
        <w:t xml:space="preserve">Один элемент карты - одна запись в реестре «Данные для дашборда».</w:t>
      </w:r>
      <w:r>
        <w:t xml:space="preserve"> </w:t>
      </w:r>
      <w:r>
        <w:t xml:space="preserve">Реестр заполняется автоматически из карты CJM.</w:t>
      </w:r>
    </w:p>
    <w:bookmarkStart w:id="52" w:name="new_content.xhtml#id8"/>
    <w:p>
      <w:pPr>
        <w:pStyle w:val="Compact"/>
      </w:pPr>
      <w:r>
        <w:drawing>
          <wp:inline>
            <wp:extent cx="5334000" cy="2994116"/>
            <wp:effectExtent b="0" l="0" r="0" t="0"/>
            <wp:docPr descr="../_images/cjm_map.png" title="" id="1" name="Picture"/>
            <a:graphic>
              <a:graphicData uri="http://schemas.openxmlformats.org/drawingml/2006/picture">
                <pic:pic>
                  <pic:nvPicPr>
                    <pic:cNvPr descr="_images/cjm_ma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4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Пример заполненной карты в Synergy Experience</w:t>
      </w:r>
    </w:p>
    <w:bookmarkEnd w:id="52"/>
    <w:bookmarkEnd w:id="53"/>
    <w:bookmarkStart w:id="54" w:name="new_content.xhtml#id6"/>
    <w:p>
      <w:pPr>
        <w:pStyle w:val="Heading2"/>
      </w:pPr>
      <w:r>
        <w:t xml:space="preserve">2.7. Процесс управления проблемами (доступно только в Synergy)</w:t>
      </w:r>
    </w:p>
    <w:p>
      <w:pPr>
        <w:numPr>
          <w:numId w:val="1019"/>
          <w:ilvl w:val="0"/>
        </w:numPr>
      </w:pPr>
      <w:r>
        <w:t xml:space="preserve">Переходите в модуль «Experience» -&gt; «Проблемы».</w:t>
      </w:r>
    </w:p>
    <w:p>
      <w:pPr>
        <w:pStyle w:val="DefinitionTerm"/>
        <w:numPr>
          <w:numId w:val="1019"/>
          <w:ilvl w:val="0"/>
        </w:numPr>
      </w:pPr>
      <w:r>
        <w:t xml:space="preserve">При необходимости, используйте один или несколько фильтров:</w:t>
      </w:r>
    </w:p>
    <w:p>
      <w:pPr>
        <w:pStyle w:val="Definition"/>
        <w:numPr>
          <w:numId w:val="1020"/>
          <w:ilvl w:val="1"/>
        </w:numPr>
      </w:pPr>
      <w:r>
        <w:t xml:space="preserve">услуга</w:t>
      </w:r>
    </w:p>
    <w:p>
      <w:pPr>
        <w:pStyle w:val="Definition"/>
        <w:numPr>
          <w:numId w:val="1020"/>
          <w:ilvl w:val="1"/>
        </w:numPr>
      </w:pPr>
      <w:r>
        <w:t xml:space="preserve">эталонная оценка</w:t>
      </w:r>
    </w:p>
    <w:p>
      <w:pPr>
        <w:pStyle w:val="Definition"/>
        <w:numPr>
          <w:numId w:val="1020"/>
          <w:ilvl w:val="1"/>
        </w:numPr>
      </w:pPr>
      <w:r>
        <w:t xml:space="preserve">период времени</w:t>
      </w:r>
    </w:p>
    <w:p>
      <w:pPr>
        <w:pStyle w:val="Definition"/>
        <w:numPr>
          <w:numId w:val="1020"/>
          <w:ilvl w:val="1"/>
        </w:numPr>
      </w:pPr>
      <w:r>
        <w:t xml:space="preserve">расположение</w:t>
      </w:r>
    </w:p>
    <w:p>
      <w:pPr>
        <w:pStyle w:val="Definition"/>
        <w:numPr>
          <w:numId w:val="1020"/>
          <w:ilvl w:val="1"/>
        </w:numPr>
      </w:pPr>
      <w:r>
        <w:t xml:space="preserve">отображение проблем на исполнении</w:t>
      </w:r>
    </w:p>
    <w:p>
      <w:pPr>
        <w:pStyle w:val="Definition"/>
        <w:numPr>
          <w:numId w:val="1020"/>
          <w:ilvl w:val="1"/>
        </w:numPr>
      </w:pPr>
      <w:r>
        <w:t xml:space="preserve">сортировка данных</w:t>
      </w:r>
    </w:p>
    <w:p>
      <w:pPr>
        <w:numPr>
          <w:numId w:val="1019"/>
          <w:ilvl w:val="0"/>
        </w:numPr>
      </w:pPr>
      <w:r>
        <w:t xml:space="preserve">Модуль указывает на потенциальные проблемы: в каких точках</w:t>
      </w:r>
      <w:r>
        <w:t xml:space="preserve"> </w:t>
      </w:r>
      <w:r>
        <w:t xml:space="preserve">взаимодействия с потребителем средняя оценка ниже эталонной.</w:t>
      </w:r>
      <w:r>
        <w:t xml:space="preserve"> </w:t>
      </w:r>
      <w:r>
        <w:t xml:space="preserve">В учет идут все оценки, которые попадают в текущие значения</w:t>
      </w:r>
      <w:r>
        <w:t xml:space="preserve"> </w:t>
      </w:r>
      <w:r>
        <w:t xml:space="preserve">фильтров.</w:t>
      </w:r>
    </w:p>
    <w:p>
      <w:pPr>
        <w:numPr>
          <w:numId w:val="1019"/>
          <w:ilvl w:val="0"/>
        </w:numPr>
      </w:pPr>
      <w:r>
        <w:t xml:space="preserve">По двойному нажатию на проблему доступен подробный список</w:t>
      </w:r>
      <w:r>
        <w:t xml:space="preserve"> </w:t>
      </w:r>
      <w:r>
        <w:t xml:space="preserve">всех оценок, которые попадают в текущие значения фильтров.</w:t>
      </w:r>
    </w:p>
    <w:p>
      <w:pPr>
        <w:numPr>
          <w:numId w:val="1019"/>
          <w:ilvl w:val="0"/>
        </w:numPr>
      </w:pPr>
      <w:r>
        <w:t xml:space="preserve">В модуле доступна регистрация выявленной проблемы, назначение</w:t>
      </w:r>
      <w:r>
        <w:t xml:space="preserve"> </w:t>
      </w:r>
      <w:r>
        <w:t xml:space="preserve">работы выбранному ответственному.</w:t>
      </w:r>
    </w:p>
    <w:bookmarkEnd w:id="54"/>
    <w:bookmarkStart w:id="56" w:name="new_content.xhtml#agent"/>
    <w:p>
      <w:pPr>
        <w:pStyle w:val="Heading2"/>
      </w:pPr>
      <w:r>
        <w:t xml:space="preserve">2.8. Процесс работы с приложением Agent (Тайный покупатель)</w:t>
      </w:r>
    </w:p>
    <w:p>
      <w:pPr>
        <w:numPr>
          <w:numId w:val="1021"/>
          <w:ilvl w:val="0"/>
        </w:numPr>
      </w:pPr>
      <w:r>
        <w:t xml:space="preserve">Для работы Тайных покупателей, в части заполнения проверочных анкет, разработано отдельное приложение Agent</w:t>
      </w:r>
    </w:p>
    <w:p>
      <w:pPr>
        <w:numPr>
          <w:numId w:val="1021"/>
          <w:ilvl w:val="0"/>
        </w:numPr>
      </w:pPr>
      <w:r>
        <w:t xml:space="preserve">Приложение доступно по адресу &lt;host&gt;/&lt;agent&gt;, к примеру:</w:t>
      </w:r>
      <w:r>
        <w:t xml:space="preserve"> </w:t>
      </w:r>
      <w:hyperlink r:id="rId55">
        <w:r>
          <w:rPr>
            <w:rStyle w:val="Hyperlink"/>
          </w:rPr>
          <w:t xml:space="preserve">http://experience.arta.pro/agent</w:t>
        </w:r>
      </w:hyperlink>
    </w:p>
    <w:p>
      <w:pPr>
        <w:numPr>
          <w:numId w:val="1021"/>
          <w:ilvl w:val="0"/>
        </w:numPr>
      </w:pPr>
      <w:r>
        <w:t xml:space="preserve">Необходимо настроить анкету тайного покупателя в конфигураторе, на форме Анкета ТП (experience_form_ms);</w:t>
      </w:r>
    </w:p>
    <w:p>
      <w:pPr>
        <w:numPr>
          <w:numId w:val="1021"/>
          <w:ilvl w:val="0"/>
        </w:numPr>
      </w:pPr>
      <w:r>
        <w:t xml:space="preserve">Все записи будут хранится в реестре Анкеты ТП (experience_registry_ms)</w:t>
      </w:r>
    </w:p>
    <w:p>
      <w:pPr>
        <w:numPr>
          <w:numId w:val="1021"/>
          <w:ilvl w:val="0"/>
        </w:numPr>
      </w:pPr>
      <w:r>
        <w:t xml:space="preserve">К приложению Agent доступ имеют только пользователи, состоящие в группе Тайный покупатель (ms).</w:t>
      </w:r>
    </w:p>
    <w:bookmarkEnd w:id="56"/>
    <w:bookmarkStart w:id="57" w:name="new_content.xhtml#id7"/>
    <w:p>
      <w:pPr>
        <w:pStyle w:val="Heading2"/>
      </w:pPr>
      <w:r>
        <w:t xml:space="preserve">2.9. Процесс работы с анкетами тайных покупателей (Модуль Тайный покупатель)</w:t>
      </w:r>
    </w:p>
    <w:p>
      <w:pPr>
        <w:numPr>
          <w:numId w:val="1022"/>
          <w:ilvl w:val="0"/>
        </w:numPr>
      </w:pPr>
      <w:r>
        <w:t xml:space="preserve">Для просмотра всех анкет в приложении Experience существует модуль Тайный покупатель;</w:t>
      </w:r>
    </w:p>
    <w:p>
      <w:pPr>
        <w:numPr>
          <w:numId w:val="1022"/>
          <w:ilvl w:val="0"/>
        </w:numPr>
      </w:pPr>
      <w:r>
        <w:t xml:space="preserve">Модуль содержит стандартный поиск с фильтром, а также позволяет распечатать список;</w:t>
      </w:r>
    </w:p>
    <w:p>
      <w:pPr>
        <w:numPr>
          <w:numId w:val="1022"/>
          <w:ilvl w:val="0"/>
        </w:numPr>
      </w:pPr>
      <w:r>
        <w:t xml:space="preserve">Настройка отображения столбцов производится в реестре Анкеты ТП;</w:t>
      </w:r>
    </w:p>
    <w:p>
      <w:pPr>
        <w:numPr>
          <w:numId w:val="1022"/>
          <w:ilvl w:val="0"/>
        </w:numPr>
      </w:pPr>
      <w:r>
        <w:t xml:space="preserve">Аналитика по анкетам ТП содердится в модуле Аналитика в подмодуле Аналитика ТП (функционал аналогичен модулю Аналитика отзывы).</w:t>
      </w:r>
    </w:p>
    <w:bookmarkEnd w:id="57"/>
    <w:bookmarkEnd w:id="58"/>
    <w:p>
      <w:pPr>
        <w:pStyle w:val="FirstParagraph"/>
      </w:pPr>
      <w:bookmarkStart w:id="59" w:name="genindex.xhtml"/>
      <w:bookmarkEnd w:id="59"/>
    </w:p>
    <w:p>
      <w:pPr>
        <w:pStyle w:val="Heading1"/>
      </w:pPr>
      <w:bookmarkStart w:id="60" w:name="genindex.xhtml#index"/>
      <w:r>
        <w:t xml:space="preserve">Алфавитный указатель</w:t>
      </w:r>
      <w:bookmarkEnd w:id="60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1" Target="media/rId51.png" /><Relationship Type="http://schemas.openxmlformats.org/officeDocument/2006/relationships/hyperlink" Id="rId55" Target="http://experience.arta.pro/agent" TargetMode="External" /><Relationship Type="http://schemas.openxmlformats.org/officeDocument/2006/relationships/hyperlink" Id="rId45" Target="http://experience.arta.pro/feedback_form" TargetMode="External" /><Relationship Type="http://schemas.openxmlformats.org/officeDocument/2006/relationships/hyperlink" Id="rId46" Target="http://experience.arta.pro/feedback_form/?location=1" TargetMode="External" /><Relationship Type="http://schemas.openxmlformats.org/officeDocument/2006/relationships/hyperlink" Id="rId47" Target="http://experience.arta.pro/feedback_form/?location=1&amp;resource=2" TargetMode="External" /><Relationship Type="http://schemas.openxmlformats.org/officeDocument/2006/relationships/hyperlink" Id="rId50" Target="http://htmlbook.ru/content/formatirovanie-teksta" TargetMode="External" /><Relationship Type="http://schemas.openxmlformats.org/officeDocument/2006/relationships/hyperlink" Id="rId38" Target="http://rtd.lan.arta.kz/docs/guide/ru/hamming/dashboards.html" TargetMode="External" /><Relationship Type="http://schemas.openxmlformats.org/officeDocument/2006/relationships/hyperlink" Id="rId37" Target="http://tdd.lan.arta.kz/docs/synergy/tags/hamming/release-notes/html/app_export_import.html#app_import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nstall-upgrade-configuration" TargetMode="External" /><Relationship Type="http://schemas.openxmlformats.org/officeDocument/2006/relationships/hyperlink" Id="rId23" Target="src/first_tuning.xhtml#manual" TargetMode="External" /><Relationship Type="http://schemas.openxmlformats.org/officeDocument/2006/relationships/hyperlink" Id="rId24" Target="src/new_content.xhtml" TargetMode="External" /><Relationship Type="http://schemas.openxmlformats.org/officeDocument/2006/relationships/hyperlink" Id="rId32" Target="src/new_content.xhtml#agent" TargetMode="External" /><Relationship Type="http://schemas.openxmlformats.org/officeDocument/2006/relationships/hyperlink" Id="rId25" Target="src/new_content.xhtml#id1" TargetMode="External" /><Relationship Type="http://schemas.openxmlformats.org/officeDocument/2006/relationships/hyperlink" Id="rId26" Target="src/new_content.xhtml#id2" TargetMode="External" /><Relationship Type="http://schemas.openxmlformats.org/officeDocument/2006/relationships/hyperlink" Id="rId27" Target="src/new_content.xhtml#id3" TargetMode="External" /><Relationship Type="http://schemas.openxmlformats.org/officeDocument/2006/relationships/hyperlink" Id="rId28" Target="src/new_content.xhtml#id4" TargetMode="External" /><Relationship Type="http://schemas.openxmlformats.org/officeDocument/2006/relationships/hyperlink" Id="rId29" Target="src/new_content.xhtml#id5" TargetMode="External" /><Relationship Type="http://schemas.openxmlformats.org/officeDocument/2006/relationships/hyperlink" Id="rId31" Target="src/new_content.xhtml#id6" TargetMode="External" /><Relationship Type="http://schemas.openxmlformats.org/officeDocument/2006/relationships/hyperlink" Id="rId33" Target="src/new_content.xhtml#id7" TargetMode="External" /><Relationship Type="http://schemas.openxmlformats.org/officeDocument/2006/relationships/hyperlink" Id="rId30" Target="src/new_content.xhtml#syner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5" Target="http://experience.arta.pro/agent" TargetMode="External" /><Relationship Type="http://schemas.openxmlformats.org/officeDocument/2006/relationships/hyperlink" Id="rId45" Target="http://experience.arta.pro/feedback_form" TargetMode="External" /><Relationship Type="http://schemas.openxmlformats.org/officeDocument/2006/relationships/hyperlink" Id="rId46" Target="http://experience.arta.pro/feedback_form/?location=1" TargetMode="External" /><Relationship Type="http://schemas.openxmlformats.org/officeDocument/2006/relationships/hyperlink" Id="rId47" Target="http://experience.arta.pro/feedback_form/?location=1&amp;resource=2" TargetMode="External" /><Relationship Type="http://schemas.openxmlformats.org/officeDocument/2006/relationships/hyperlink" Id="rId50" Target="http://htmlbook.ru/content/formatirovanie-teksta" TargetMode="External" /><Relationship Type="http://schemas.openxmlformats.org/officeDocument/2006/relationships/hyperlink" Id="rId38" Target="http://rtd.lan.arta.kz/docs/guide/ru/hamming/dashboards.html" TargetMode="External" /><Relationship Type="http://schemas.openxmlformats.org/officeDocument/2006/relationships/hyperlink" Id="rId37" Target="http://tdd.lan.arta.kz/docs/synergy/tags/hamming/release-notes/html/app_export_import.html#app_import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nstall-upgrade-configuration" TargetMode="External" /><Relationship Type="http://schemas.openxmlformats.org/officeDocument/2006/relationships/hyperlink" Id="rId23" Target="src/first_tuning.xhtml#manual" TargetMode="External" /><Relationship Type="http://schemas.openxmlformats.org/officeDocument/2006/relationships/hyperlink" Id="rId24" Target="src/new_content.xhtml" TargetMode="External" /><Relationship Type="http://schemas.openxmlformats.org/officeDocument/2006/relationships/hyperlink" Id="rId32" Target="src/new_content.xhtml#agent" TargetMode="External" /><Relationship Type="http://schemas.openxmlformats.org/officeDocument/2006/relationships/hyperlink" Id="rId25" Target="src/new_content.xhtml#id1" TargetMode="External" /><Relationship Type="http://schemas.openxmlformats.org/officeDocument/2006/relationships/hyperlink" Id="rId26" Target="src/new_content.xhtml#id2" TargetMode="External" /><Relationship Type="http://schemas.openxmlformats.org/officeDocument/2006/relationships/hyperlink" Id="rId27" Target="src/new_content.xhtml#id3" TargetMode="External" /><Relationship Type="http://schemas.openxmlformats.org/officeDocument/2006/relationships/hyperlink" Id="rId28" Target="src/new_content.xhtml#id4" TargetMode="External" /><Relationship Type="http://schemas.openxmlformats.org/officeDocument/2006/relationships/hyperlink" Id="rId29" Target="src/new_content.xhtml#id5" TargetMode="External" /><Relationship Type="http://schemas.openxmlformats.org/officeDocument/2006/relationships/hyperlink" Id="rId31" Target="src/new_content.xhtml#id6" TargetMode="External" /><Relationship Type="http://schemas.openxmlformats.org/officeDocument/2006/relationships/hyperlink" Id="rId33" Target="src/new_content.xhtml#id7" TargetMode="External" /><Relationship Type="http://schemas.openxmlformats.org/officeDocument/2006/relationships/hyperlink" Id="rId30" Target="src/new_content.xhtml#syner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внедрению Synergy Experience 1.0</dc:title>
  <dc:creator>unknown</dc:creator>
  <cp:keywords/>
  <dcterms:created xsi:type="dcterms:W3CDTF">2022-02-14T05:46:17Z</dcterms:created>
  <dcterms:modified xsi:type="dcterms:W3CDTF">2022-02-14T05:46:17Z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