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5.png" ContentType="image/png"/>
  <Override PartName="/word/media/rId28.png" ContentType="image/png"/>
  <Override PartName="/word/media/rId30.png" ContentType="image/png"/>
  <Override PartName="/word/media/rId32.png" ContentType="image/png"/>
  <Override PartName="/word/media/rId34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Документация Инструкция по установке Synergy Experience 1.0</w:t>
      </w:r>
    </w:p>
    <w:p>
      <w:pPr>
        <w:pStyle w:val="Author"/>
      </w:pPr>
      <w:r>
        <w:t xml:space="preserve">unknown</w:t>
      </w:r>
    </w:p>
    <w:p>
      <w:pPr>
        <w:pStyle w:val="Date"/>
      </w:pPr>
      <w:r>
        <w:t xml:space="preserve">2022-02-13T23:47:30Z</w:t>
      </w:r>
    </w:p>
    <w:p>
      <w:pPr>
        <w:pStyle w:val="FirstParagraph"/>
      </w:pPr>
      <w:bookmarkStart w:id="20" w:name="index.xhtml"/>
      <w:bookmarkEnd w:id="20"/>
    </w:p>
    <w:bookmarkStart w:id="41" w:name="index.xhtml#synergy-experience"/>
    <w:p>
      <w:pPr>
        <w:pStyle w:val="Heading1"/>
      </w:pPr>
      <w:r>
        <w:t xml:space="preserve">Инструкция по установке приложения Synergy Experience</w:t>
      </w:r>
    </w:p>
    <w:bookmarkStart w:id="21" w:name="index.xhtml#id1"/>
    <w:p>
      <w:pPr>
        <w:pStyle w:val="Heading2"/>
      </w:pPr>
      <w:r>
        <w:t xml:space="preserve">Общие сведения</w:t>
      </w:r>
    </w:p>
    <w:p>
      <w:pPr>
        <w:pStyle w:val="FirstParagraph"/>
      </w:pPr>
      <w:r>
        <w:t xml:space="preserve">Synergy Experience устанавливается отдельным пакетом. Возможны следующие</w:t>
      </w:r>
      <w:r>
        <w:t xml:space="preserve"> </w:t>
      </w:r>
      <w:r>
        <w:t xml:space="preserve">варианты установки.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- установка приложения, загрузка</w:t>
      </w:r>
      <w:r>
        <w:t xml:space="preserve"> </w:t>
      </w:r>
      <w:r>
        <w:t xml:space="preserve">его конфигурации, индексов и дашбордов (соответственно, без БД и</w:t>
      </w:r>
      <w:r>
        <w:t xml:space="preserve"> </w:t>
      </w:r>
      <w:r>
        <w:t xml:space="preserve">хранилища).</w:t>
      </w:r>
    </w:p>
    <w:p>
      <w:pPr>
        <w:pStyle w:val="BlockText"/>
        <w:numPr>
          <w:numId w:val="1000"/>
          <w:ilvl w:val="0"/>
        </w:numPr>
      </w:pPr>
      <w:r>
        <w:t xml:space="preserve">Подсказка</w:t>
      </w:r>
    </w:p>
    <w:p>
      <w:pPr>
        <w:pStyle w:val="BlockText"/>
        <w:numPr>
          <w:numId w:val="1000"/>
          <w:ilvl w:val="0"/>
        </w:numPr>
      </w:pPr>
      <w:r>
        <w:t xml:space="preserve">Данный вариант установки отличается от других тем, что</w:t>
      </w:r>
      <w:r>
        <w:t xml:space="preserve"> </w:t>
      </w:r>
      <w:r>
        <w:t xml:space="preserve">загружается конфигурация через Synergy API, не удаляя</w:t>
      </w:r>
      <w:r>
        <w:t xml:space="preserve"> </w:t>
      </w:r>
      <w:r>
        <w:t xml:space="preserve">при этом информацию пользователя.</w:t>
      </w:r>
    </w:p>
    <w:p>
      <w:pPr>
        <w:numPr>
          <w:numId w:val="1001"/>
          <w:ilvl w:val="0"/>
        </w:numPr>
      </w:pPr>
      <w:r>
        <w:rPr>
          <w:rStyle w:val="VerbatimChar"/>
        </w:rPr>
        <w:t xml:space="preserve">Manual</w:t>
      </w:r>
      <w:r>
        <w:t xml:space="preserve"> </w:t>
      </w:r>
      <w:r>
        <w:t xml:space="preserve">- установка только приложения без автоматической загрузки</w:t>
      </w:r>
      <w:r>
        <w:t xml:space="preserve"> </w:t>
      </w:r>
      <w:r>
        <w:t xml:space="preserve">конфигурации, дашбордов и всего остального.</w:t>
      </w:r>
    </w:p>
    <w:bookmarkEnd w:id="21"/>
    <w:bookmarkStart w:id="24" w:name="index.xhtml#id2"/>
    <w:p>
      <w:pPr>
        <w:pStyle w:val="Heading2"/>
      </w:pPr>
      <w:r>
        <w:t xml:space="preserve">Предварительные требования</w:t>
      </w:r>
    </w:p>
    <w:p>
      <w:pPr>
        <w:pStyle w:val="FirstParagraph"/>
      </w:pPr>
      <w:r>
        <w:t xml:space="preserve">Важно! Для работы данного приложения требуется:</w:t>
      </w:r>
    </w:p>
    <w:p>
      <w:pPr>
        <w:numPr>
          <w:numId w:val="1002"/>
          <w:ilvl w:val="0"/>
        </w:numPr>
      </w:pPr>
      <w:r>
        <w:t xml:space="preserve">установить Arta Synergy 4.1 minsky (</w:t>
      </w:r>
      <w:hyperlink r:id="rId22">
        <w:r>
          <w:rPr>
            <w:rStyle w:val="Hyperlink"/>
          </w:rPr>
          <w:t xml:space="preserve">инструкция Synergy</w:t>
        </w:r>
      </w:hyperlink>
      <w:r>
        <w:t xml:space="preserve"> </w:t>
      </w:r>
      <w:r>
        <w:t xml:space="preserve">[http://tdd.lan.arta.kz/docs/synergy/tags/minsky/admin-manual/html/install-and-setup.html]</w:t>
      </w:r>
      <w:r>
        <w:t xml:space="preserve">);</w:t>
      </w:r>
    </w:p>
    <w:p>
      <w:pPr>
        <w:numPr>
          <w:numId w:val="1002"/>
          <w:ilvl w:val="0"/>
        </w:numPr>
      </w:pPr>
      <w:r>
        <w:t xml:space="preserve">установить и запустить Elasticsearch и Kibana (</w:t>
      </w:r>
      <w:hyperlink r:id="rId23">
        <w:r>
          <w:rPr>
            <w:rStyle w:val="Hyperlink"/>
          </w:rPr>
          <w:t xml:space="preserve">инструкция Kibana</w:t>
        </w:r>
      </w:hyperlink>
      <w:r>
        <w:t xml:space="preserve"> </w:t>
      </w:r>
      <w:r>
        <w:t xml:space="preserve">[http://tdd.lan.arta.kz/docs/synergy/tags/minsky/admin-manual/html/appendix.dashboards.html]</w:t>
      </w:r>
      <w:r>
        <w:t xml:space="preserve">);</w:t>
      </w:r>
    </w:p>
    <w:p>
      <w:pPr>
        <w:numPr>
          <w:numId w:val="1002"/>
          <w:ilvl w:val="0"/>
        </w:numPr>
      </w:pPr>
      <w:r>
        <w:t xml:space="preserve">в подсистеме администрирования обновить базу данных и процессы;</w:t>
      </w:r>
    </w:p>
    <w:p>
      <w:pPr>
        <w:numPr>
          <w:numId w:val="1002"/>
          <w:ilvl w:val="0"/>
        </w:numPr>
      </w:pPr>
      <w:r>
        <w:t xml:space="preserve">для варианта установки</w:t>
      </w:r>
      <w:r>
        <w:t xml:space="preserve"> </w:t>
      </w:r>
      <w:r>
        <w:rPr>
          <w:rStyle w:val="VerbatimChar"/>
        </w:rPr>
        <w:t xml:space="preserve">Install/Upgrade Configuration</w:t>
      </w:r>
      <w:r>
        <w:t xml:space="preserve"> </w:t>
      </w:r>
      <w:r>
        <w:t xml:space="preserve">предварительно:</w:t>
      </w:r>
    </w:p>
    <w:p>
      <w:pPr>
        <w:pStyle w:val="BlockText"/>
        <w:numPr>
          <w:numId w:val="1003"/>
          <w:ilvl w:val="1"/>
        </w:numPr>
      </w:pPr>
      <w:r>
        <w:t xml:space="preserve">завести Системного пользователя (с произвольными логином/паролем, с</w:t>
      </w:r>
      <w:r>
        <w:t xml:space="preserve"> </w:t>
      </w:r>
      <w:r>
        <w:t xml:space="preserve">доступом в систему, с ролью «Разработчик Synergy»,»Администратор» и «Конструктор web-клиента»,</w:t>
      </w:r>
      <w:r>
        <w:t xml:space="preserve"> </w:t>
      </w:r>
      <w:r>
        <w:t xml:space="preserve">а также назначенного на произвольную должность);</w:t>
      </w:r>
    </w:p>
    <w:bookmarkEnd w:id="24"/>
    <w:bookmarkStart w:id="37" w:name="index.xhtml#id3"/>
    <w:p>
      <w:pPr>
        <w:pStyle w:val="Heading2"/>
      </w:pPr>
      <w:r>
        <w:t xml:space="preserve">Установка приложения</w:t>
      </w:r>
    </w:p>
    <w:p>
      <w:pPr>
        <w:pStyle w:val="FirstParagraph"/>
      </w:pPr>
      <w:r>
        <w:t xml:space="preserve">Установочный пакет находится в репозитории</w:t>
      </w:r>
      <w:r>
        <w:t xml:space="preserve"> </w:t>
      </w:r>
      <w:r>
        <w:rPr>
          <w:i/>
        </w:rPr>
        <w:t xml:space="preserve">product-stable</w:t>
      </w:r>
      <w:r>
        <w:t xml:space="preserve">. В файле</w:t>
      </w:r>
      <w:r>
        <w:t xml:space="preserve"> </w:t>
      </w:r>
      <w:r>
        <w:rPr>
          <w:rStyle w:val="VerbatimChar"/>
        </w:rPr>
        <w:t xml:space="preserve">/etc/apt/sources.list</w:t>
      </w:r>
      <w:r>
        <w:t xml:space="preserve"> </w:t>
      </w:r>
      <w:r>
        <w:t xml:space="preserve">необходимо добавить либо раскомментировать</w:t>
      </w:r>
      <w:r>
        <w:t xml:space="preserve"> </w:t>
      </w:r>
      <w:r>
        <w:t xml:space="preserve">следующую строку:</w:t>
      </w:r>
    </w:p>
    <w:p>
      <w:pPr>
        <w:pStyle w:val="BodyText"/>
      </w:pPr>
      <w:r>
        <w:rPr>
          <w:rStyle w:val="VerbatimChar"/>
        </w:rPr>
        <w:t xml:space="preserve">deb http://deb.arta.kz/tengri product-stable main contrib non-free</w:t>
      </w:r>
    </w:p>
    <w:p>
      <w:pPr>
        <w:pStyle w:val="BodyText"/>
      </w:pPr>
      <w:r>
        <w:t xml:space="preserve">Для установки приложения необходимо выполнить команду:</w:t>
      </w:r>
    </w:p>
    <w:p>
      <w:pPr>
        <w:pStyle w:val="SourceCode"/>
        <w:pStyle w:val="BlockText"/>
      </w:pPr>
      <w:r>
        <w:rPr>
          <w:rStyle w:val="VerbatimChar"/>
        </w:rPr>
        <w:t xml:space="preserve"># apt-get update</w:t>
      </w:r>
      <w:r>
        <w:br w:type="textWrapping"/>
      </w:r>
      <w:r>
        <w:rPr>
          <w:rStyle w:val="VerbatimChar"/>
        </w:rPr>
        <w:t xml:space="preserve"># apt-get install arta-synergy-apps-experience</w:t>
      </w:r>
    </w:p>
    <w:bookmarkStart w:id="36" w:name="index.xhtml#install-upgrade-configuration-manual"/>
    <w:p>
      <w:pPr>
        <w:pStyle w:val="Heading3"/>
      </w:pPr>
      <w:r>
        <w:t xml:space="preserve">Особенности установки Install/Upgrade Configuration и Manual</w:t>
      </w:r>
    </w:p>
    <w:p>
      <w:pPr>
        <w:pStyle w:val="FirstParagraph"/>
      </w:pPr>
      <w:r>
        <w:t xml:space="preserve">В ходе установки необходимо выполнить следующее:</w:t>
      </w:r>
    </w:p>
    <w:p>
      <w:pPr>
        <w:numPr>
          <w:numId w:val="1004"/>
          <w:ilvl w:val="0"/>
        </w:numPr>
      </w:pPr>
      <w:r>
        <w:t xml:space="preserve">Выбрать тип установки из предложенного списка</w:t>
      </w:r>
    </w:p>
    <w:bookmarkStart w:id="26" w:name="index.xhtml#id6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417349"/>
            <wp:effectExtent b="0" l="0" r="0" t="0"/>
            <wp:docPr descr="_images/experience_step1_install.png" title="" id="1" name="Picture"/>
            <a:graphic>
              <a:graphicData uri="http://schemas.openxmlformats.org/drawingml/2006/picture">
                <pic:pic>
                  <pic:nvPicPr>
                    <pic:cNvPr descr="_images/experience_step1_inst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173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Тип установки</w:t>
      </w:r>
    </w:p>
    <w:bookmarkEnd w:id="26"/>
    <w:p>
      <w:pPr>
        <w:numPr>
          <w:numId w:val="1004"/>
          <w:ilvl w:val="0"/>
        </w:numPr>
      </w:pPr>
      <w:r>
        <w:t xml:space="preserve">Указать URL до Synergy, на котором производится работа (например:</w:t>
      </w:r>
      <w:r>
        <w:t xml:space="preserve"> </w:t>
      </w:r>
      <w:hyperlink r:id="rId27">
        <w:r>
          <w:rPr>
            <w:rStyle w:val="Hyperlink"/>
          </w:rPr>
          <w:t xml:space="preserve">http://192.168.3.143:8080/Synergy</w:t>
        </w:r>
      </w:hyperlink>
      <w:r>
        <w:t xml:space="preserve">)</w:t>
      </w:r>
    </w:p>
    <w:bookmarkStart w:id="29" w:name="index.xhtml#id7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804160"/>
            <wp:effectExtent b="0" l="0" r="0" t="0"/>
            <wp:docPr descr="_images/experience_step2.png" title="" id="1" name="Picture"/>
            <a:graphic>
              <a:graphicData uri="http://schemas.openxmlformats.org/drawingml/2006/picture">
                <pic:pic>
                  <pic:nvPicPr>
                    <pic:cNvPr descr="_images/experience_step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804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synergy URL</w:t>
      </w:r>
    </w:p>
    <w:bookmarkEnd w:id="29"/>
    <w:p>
      <w:pPr>
        <w:numPr>
          <w:numId w:val="1004"/>
          <w:ilvl w:val="0"/>
        </w:numPr>
      </w:pPr>
      <w:r>
        <w:t xml:space="preserve">Ввести последовательно логин и пароль Системного пользователя</w:t>
      </w:r>
    </w:p>
    <w:bookmarkStart w:id="31" w:name="index.xhtml#id8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366210"/>
            <wp:effectExtent b="0" l="0" r="0" t="0"/>
            <wp:docPr descr="_images/experience_step3_install_login.png" title="" id="1" name="Picture"/>
            <a:graphic>
              <a:graphicData uri="http://schemas.openxmlformats.org/drawingml/2006/picture">
                <pic:pic>
                  <pic:nvPicPr>
                    <pic:cNvPr descr="_images/experience_step3_install_login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3662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логина</w:t>
      </w:r>
    </w:p>
    <w:bookmarkEnd w:id="31"/>
    <w:bookmarkStart w:id="33" w:name="index.xhtml#id9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470576"/>
            <wp:effectExtent b="0" l="0" r="0" t="0"/>
            <wp:docPr descr="_images/experience_step3_install_password.png" title="" id="1" name="Picture"/>
            <a:graphic>
              <a:graphicData uri="http://schemas.openxmlformats.org/drawingml/2006/picture">
                <pic:pic>
                  <pic:nvPicPr>
                    <pic:cNvPr descr="_images/experience_step3_install_password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47057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</w:t>
      </w:r>
    </w:p>
    <w:bookmarkEnd w:id="33"/>
    <w:p>
      <w:pPr>
        <w:numPr>
          <w:numId w:val="1004"/>
          <w:ilvl w:val="0"/>
        </w:numPr>
      </w:pPr>
      <w:r>
        <w:t xml:space="preserve">Ввести пароль mysql</w:t>
      </w:r>
    </w:p>
    <w:bookmarkStart w:id="35" w:name="index.xhtml#id10"/>
    <w:p>
      <w:pPr>
        <w:pStyle w:val="Compact"/>
        <w:pStyle w:val="BlockText"/>
        <w:numPr>
          <w:numId w:val="1000"/>
          <w:ilvl w:val="0"/>
        </w:numPr>
      </w:pPr>
      <w:r>
        <w:drawing>
          <wp:inline>
            <wp:extent cx="5334000" cy="2041864"/>
            <wp:effectExtent b="0" l="0" r="0" t="0"/>
            <wp:docPr descr="_images/experience_step4.png" title="" id="1" name="Picture"/>
            <a:graphic>
              <a:graphicData uri="http://schemas.openxmlformats.org/drawingml/2006/picture">
                <pic:pic>
                  <pic:nvPicPr>
                    <pic:cNvPr descr="_images/experience_step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04186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lockText"/>
        <w:numPr>
          <w:numId w:val="1000"/>
          <w:ilvl w:val="0"/>
        </w:numPr>
      </w:pPr>
      <w:r>
        <w:t xml:space="preserve">Рис. Ввод пароля mysql</w:t>
      </w:r>
    </w:p>
    <w:bookmarkEnd w:id="35"/>
    <w:bookmarkEnd w:id="36"/>
    <w:bookmarkEnd w:id="37"/>
    <w:bookmarkStart w:id="40" w:name="index.xhtml#id4"/>
    <w:p>
      <w:pPr>
        <w:pStyle w:val="Heading2"/>
      </w:pPr>
      <w:r>
        <w:t xml:space="preserve">После установки</w:t>
      </w:r>
    </w:p>
    <w:p>
      <w:pPr>
        <w:pStyle w:val="FirstParagraph"/>
      </w:pPr>
      <w:r>
        <w:t xml:space="preserve">Во-первых, необходимо вручную запустить сервисы Elasticsearch и Kibana:</w:t>
      </w:r>
    </w:p>
    <w:p>
      <w:pPr>
        <w:pStyle w:val="SourceCode"/>
        <w:pStyle w:val="BlockText"/>
      </w:pPr>
      <w:r>
        <w:rPr>
          <w:rStyle w:val="VerbatimChar"/>
        </w:rPr>
        <w:t xml:space="preserve"># service elasticsearch start</w:t>
      </w:r>
      <w:r>
        <w:br w:type="textWrapping"/>
      </w:r>
      <w:r>
        <w:rPr>
          <w:rStyle w:val="VerbatimChar"/>
        </w:rPr>
        <w:t xml:space="preserve"># service kibana start</w:t>
      </w:r>
    </w:p>
    <w:p>
      <w:pPr>
        <w:pStyle w:val="FirstParagraph"/>
      </w:pPr>
      <w:r>
        <w:t xml:space="preserve">Во-вторых, в подсистеме конфигурирования необходимо прописать логин и пароль Системного пользователя в следующих блокирующих процессах: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event.blocking.interpreter.add_assessment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event.blocking.interpreter.assessment.set_step_number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event.blocking.interpreter.set.cjm_subdivision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event.blocking.interpreter.set_answer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event.blocking.interpreter.sendApp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event.blocking.interpreter.createUser</w:t>
      </w:r>
    </w:p>
    <w:p>
      <w:pPr>
        <w:pStyle w:val="BlockText"/>
        <w:numPr>
          <w:numId w:val="1005"/>
          <w:ilvl w:val="0"/>
        </w:numPr>
      </w:pPr>
      <w:r>
        <w:t xml:space="preserve">event.blocking.interpreter.modifyUser</w:t>
      </w:r>
    </w:p>
    <w:p>
      <w:pPr>
        <w:pStyle w:val="FirstParagraph"/>
      </w:pPr>
      <w:r>
        <w:t xml:space="preserve">Если фактическое поведение отличается от ожидаемого, то необходимо:</w:t>
      </w:r>
    </w:p>
    <w:p>
      <w:pPr>
        <w:numPr>
          <w:numId w:val="1006"/>
          <w:ilvl w:val="0"/>
        </w:numPr>
      </w:pPr>
      <w:r>
        <w:t xml:space="preserve">в подсистеме администрирования проверить актуальность базы данных и</w:t>
      </w:r>
      <w:r>
        <w:t xml:space="preserve"> </w:t>
      </w:r>
      <w:r>
        <w:t xml:space="preserve">процессов и, при необходимости, их обновить;</w:t>
      </w:r>
    </w:p>
    <w:p>
      <w:pPr>
        <w:numPr>
          <w:numId w:val="1006"/>
          <w:ilvl w:val="0"/>
        </w:numPr>
      </w:pPr>
      <w:r>
        <w:t xml:space="preserve">проверить конфигурационный файл</w:t>
      </w:r>
      <w:r>
        <w:t xml:space="preserve"> </w:t>
      </w:r>
      <w:r>
        <w:rPr>
          <w:rStyle w:val="VerbatimChar"/>
        </w:rPr>
        <w:t xml:space="preserve">/etc/nginx/sites-enabled/synergy-base</w:t>
      </w:r>
      <w:r>
        <w:t xml:space="preserve"> </w:t>
      </w:r>
      <w:r>
        <w:t xml:space="preserve">на наличие следующих настроек:</w:t>
      </w:r>
    </w:p>
    <w:p>
      <w:pPr>
        <w:pStyle w:val="SourceCode"/>
        <w:pStyle w:val="BlockText"/>
        <w:numPr>
          <w:numId w:val="1000"/>
          <w:ilvl w:val="0"/>
        </w:numPr>
      </w:pPr>
      <w:r>
        <w:rPr>
          <w:rStyle w:val="VerbatimChar"/>
        </w:rPr>
        <w:t xml:space="preserve">location /constructor {</w:t>
      </w:r>
      <w:r>
        <w:br w:type="textWrapping"/>
      </w:r>
      <w:r>
        <w:rPr>
          <w:rStyle w:val="VerbatimChar"/>
        </w:rPr>
        <w:t xml:space="preserve">       allow                   all;</w:t>
      </w:r>
      <w:r>
        <w:br w:type="textWrapping"/>
      </w:r>
      <w:r>
        <w:rPr>
          <w:rStyle w:val="VerbatimChar"/>
        </w:rPr>
        <w:t xml:space="preserve">       proxy_pass              http://127.0.0.1:8080;</w:t>
      </w:r>
      <w:r>
        <w:br w:type="textWrapping"/>
      </w:r>
      <w:r>
        <w:rPr>
          <w:rStyle w:val="VerbatimChar"/>
        </w:rPr>
        <w:t xml:space="preserve">       proxy_set_header        Host       $host;</w:t>
      </w:r>
      <w:r>
        <w:br w:type="textWrapping"/>
      </w:r>
      <w:r>
        <w:rPr>
          <w:rStyle w:val="VerbatimChar"/>
        </w:rPr>
        <w:t xml:space="preserve">       proxy_set_header        X-Real-IP  $remote_addr;</w:t>
      </w:r>
      <w:r>
        <w:br w:type="textWrapping"/>
      </w:r>
      <w:r>
        <w:rPr>
          <w:rStyle w:val="VerbatimChar"/>
        </w:rPr>
        <w:t xml:space="preserve">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/feedback_form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http://127.0.0.1:8080/feedback_form;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/experience {</w:t>
      </w:r>
      <w:r>
        <w:br w:type="textWrapping"/>
      </w:r>
      <w:r>
        <w:rPr>
          <w:rStyle w:val="VerbatimChar"/>
        </w:rPr>
        <w:t xml:space="preserve">        allow                   all;</w:t>
      </w:r>
      <w:r>
        <w:br w:type="textWrapping"/>
      </w:r>
      <w:r>
        <w:rPr>
          <w:rStyle w:val="VerbatimChar"/>
        </w:rPr>
        <w:t xml:space="preserve">        proxy_pass              http://127.0.0.1:8080/experience;</w:t>
      </w:r>
      <w:r>
        <w:br w:type="textWrapping"/>
      </w:r>
      <w:r>
        <w:rPr>
          <w:rStyle w:val="VerbatimChar"/>
        </w:rPr>
        <w:t xml:space="preserve">        proxy_set_header        Host       $host;</w:t>
      </w:r>
      <w:r>
        <w:br w:type="textWrapping"/>
      </w:r>
      <w:r>
        <w:rPr>
          <w:rStyle w:val="VerbatimChar"/>
        </w:rPr>
        <w:t xml:space="preserve">        proxy_set_header        X-Real-IP  $remote_addr;</w:t>
      </w:r>
      <w:r>
        <w:br w:type="textWrapping"/>
      </w:r>
      <w:r>
        <w:rPr>
          <w:rStyle w:val="VerbatimChar"/>
        </w:rPr>
        <w:t xml:space="preserve">        access_log /var/log/nginx/constructor.access.log;</w:t>
      </w:r>
      <w:r>
        <w:br w:type="textWrapping"/>
      </w:r>
      <w:r>
        <w:rPr>
          <w:rStyle w:val="VerbatimChar"/>
        </w:rPr>
        <w:t xml:space="preserve">        }</w:t>
      </w:r>
      <w:r>
        <w:br w:type="textWrapping"/>
      </w:r>
      <w:r>
        <w:br w:type="textWrapping"/>
      </w:r>
      <w:r>
        <w:rPr>
          <w:rStyle w:val="VerbatimChar"/>
        </w:rPr>
        <w:t xml:space="preserve">location /kibana {</w:t>
      </w:r>
      <w:r>
        <w:br w:type="textWrapping"/>
      </w:r>
      <w:r>
        <w:rPr>
          <w:rStyle w:val="VerbatimChar"/>
        </w:rPr>
        <w:t xml:space="preserve">        proxy_pass              http://localhost:5601;</w:t>
      </w:r>
      <w:r>
        <w:br w:type="textWrapping"/>
      </w:r>
      <w:r>
        <w:rPr>
          <w:rStyle w:val="VerbatimChar"/>
        </w:rPr>
        <w:t xml:space="preserve">        rewrite /kibana/(.*)$ /$1 break;</w:t>
      </w:r>
      <w:r>
        <w:br w:type="textWrapping"/>
      </w:r>
      <w:r>
        <w:rPr>
          <w:rStyle w:val="VerbatimChar"/>
        </w:rPr>
        <w:t xml:space="preserve">        proxy_http_version      1.1;</w:t>
      </w:r>
      <w:r>
        <w:br w:type="textWrapping"/>
      </w:r>
      <w:r>
        <w:rPr>
          <w:rStyle w:val="VerbatimChar"/>
        </w:rPr>
        <w:t xml:space="preserve">        proxy_set_header        Upgrade $http_upgrade;</w:t>
      </w:r>
      <w:r>
        <w:br w:type="textWrapping"/>
      </w:r>
      <w:r>
        <w:rPr>
          <w:rStyle w:val="VerbatimChar"/>
        </w:rPr>
        <w:t xml:space="preserve">        proxy_set_header        Connection 'upgrade';</w:t>
      </w:r>
      <w:r>
        <w:br w:type="textWrapping"/>
      </w:r>
      <w:r>
        <w:rPr>
          <w:rStyle w:val="VerbatimChar"/>
        </w:rPr>
        <w:t xml:space="preserve">        proxy_cache_bypass      $http_upgrade;</w:t>
      </w:r>
      <w:r>
        <w:br w:type="textWrapping"/>
      </w:r>
      <w:r>
        <w:rPr>
          <w:rStyle w:val="VerbatimChar"/>
        </w:rPr>
        <w:t xml:space="preserve">        }</w:t>
      </w:r>
    </w:p>
    <w:p>
      <w:pPr>
        <w:numPr>
          <w:numId w:val="1006"/>
          <w:ilvl w:val="0"/>
        </w:numPr>
      </w:pPr>
      <w:r>
        <w:t xml:space="preserve">открыть Конструктор приложений по адресу</w:t>
      </w:r>
      <w:r>
        <w:t xml:space="preserve"> </w:t>
      </w:r>
      <w:r>
        <w:rPr>
          <w:rStyle w:val="VerbatimChar"/>
        </w:rPr>
        <w:t xml:space="preserve">http://адрес_сервера:порт/constructor</w:t>
      </w:r>
      <w:r>
        <w:t xml:space="preserve"> </w:t>
      </w:r>
      <w:r>
        <w:t xml:space="preserve">(например:</w:t>
      </w:r>
      <w:r>
        <w:t xml:space="preserve"> </w:t>
      </w:r>
      <w:hyperlink r:id="rId38">
        <w:r>
          <w:rPr>
            <w:rStyle w:val="Hyperlink"/>
          </w:rPr>
          <w:t xml:space="preserve">http://192.168.4.80:8080/constructor</w:t>
        </w:r>
      </w:hyperlink>
      <w:r>
        <w:t xml:space="preserve">), авторизоваться под Системным</w:t>
      </w:r>
      <w:r>
        <w:t xml:space="preserve"> </w:t>
      </w:r>
      <w:r>
        <w:t xml:space="preserve">пользователем;</w:t>
      </w:r>
    </w:p>
    <w:p>
      <w:pPr>
        <w:numPr>
          <w:numId w:val="1006"/>
          <w:ilvl w:val="0"/>
        </w:numPr>
      </w:pPr>
      <w:r>
        <w:t xml:space="preserve">в случае обновления, проверить коды актуальных приложений (так как в обновленых приложениях будет присутствовать IMPORTED)</w:t>
      </w:r>
    </w:p>
    <w:p>
      <w:pPr>
        <w:numPr>
          <w:numId w:val="1006"/>
          <w:ilvl w:val="0"/>
        </w:numPr>
      </w:pPr>
      <w:r>
        <w:t xml:space="preserve">открыть приложения с кодами</w:t>
      </w:r>
      <w:r>
        <w:t xml:space="preserve"> </w:t>
      </w:r>
      <w:r>
        <w:rPr>
          <w:rStyle w:val="VerbatimChar"/>
        </w:rPr>
        <w:t xml:space="preserve">feedback_form</w:t>
      </w:r>
      <w:r>
        <w:t xml:space="preserve">,</w:t>
      </w:r>
      <w:r>
        <w:t xml:space="preserve"> </w:t>
      </w:r>
      <w:r>
        <w:rPr>
          <w:rStyle w:val="VerbatimChar"/>
        </w:rPr>
        <w:t xml:space="preserve">experience</w:t>
      </w:r>
      <w:r>
        <w:t xml:space="preserve">,</w:t>
      </w:r>
      <w:r>
        <w:t xml:space="preserve"> </w:t>
      </w:r>
      <w:r>
        <w:rPr>
          <w:rStyle w:val="VerbatimChar"/>
        </w:rPr>
        <w:t xml:space="preserve">agent</w:t>
      </w:r>
      <w:r>
        <w:t xml:space="preserve"> </w:t>
      </w:r>
      <w:r>
        <w:t xml:space="preserve">и задеплоить ихо через</w:t>
      </w:r>
      <w:r>
        <w:t xml:space="preserve"> </w:t>
      </w:r>
      <w:r>
        <w:t xml:space="preserve">меню «Клиент» -&gt; «Деплой».</w:t>
      </w:r>
    </w:p>
    <w:p>
      <w:pPr>
        <w:numPr>
          <w:numId w:val="1006"/>
          <w:ilvl w:val="0"/>
        </w:numPr>
      </w:pPr>
      <w:r>
        <w:t xml:space="preserve">в свойствах приложений прописать Пользователя по умолчанию и пароль (аналогично данным системного пользователя Synergy).</w:t>
      </w:r>
    </w:p>
    <w:p>
      <w:pPr>
        <w:pStyle w:val="FirstParagraph"/>
      </w:pPr>
      <w:r>
        <w:t xml:space="preserve">В третьих, обязательно выполните пункты</w:t>
      </w:r>
      <w:r>
        <w:t xml:space="preserve"> </w:t>
      </w:r>
      <w:hyperlink r:id="rId39">
        <w:r>
          <w:rPr>
            <w:rStyle w:val="Hyperlink"/>
          </w:rPr>
          <w:t xml:space="preserve">инструкции по внедрению</w:t>
        </w:r>
      </w:hyperlink>
      <w:r>
        <w:t xml:space="preserve"> </w:t>
      </w:r>
      <w:r>
        <w:t xml:space="preserve">[http://rtd.lan.arta.kz/docs/experience-introduction-guide/ru/v1.0/]</w:t>
      </w:r>
      <w:r>
        <w:t xml:space="preserve">.</w:t>
      </w:r>
    </w:p>
    <w:bookmarkEnd w:id="40"/>
    <w:bookmarkEnd w:id="41"/>
    <w:p>
      <w:pPr>
        <w:pStyle w:val="BodyText"/>
      </w:pPr>
      <w:bookmarkStart w:id="42" w:name="genindex.xhtml"/>
      <w:bookmarkEnd w:id="42"/>
    </w:p>
    <w:p>
      <w:pPr>
        <w:pStyle w:val="Heading1"/>
      </w:pPr>
      <w:bookmarkStart w:id="43" w:name="genindex.xhtml#index"/>
      <w:r>
        <w:t xml:space="preserve">Алфавитный указатель</w:t>
      </w:r>
      <w:bookmarkEnd w:id="43"/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0" Target="media/rId30.png" /><Relationship Type="http://schemas.openxmlformats.org/officeDocument/2006/relationships/image" Id="rId32" Target="media/rId32.png" /><Relationship Type="http://schemas.openxmlformats.org/officeDocument/2006/relationships/image" Id="rId34" Target="media/rId34.png" /><Relationship Type="http://schemas.openxmlformats.org/officeDocument/2006/relationships/hyperlink" Id="rId27" Target="http://192.168.3.143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9" Target="http://rtd.lan.arta.kz/docs/experience-introduction-guide/ru/v1.0/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7" Target="http://192.168.3.143:8080/Synergy" TargetMode="External" /><Relationship Type="http://schemas.openxmlformats.org/officeDocument/2006/relationships/hyperlink" Id="rId38" Target="http://192.168.4.80:8080/constructor" TargetMode="External" /><Relationship Type="http://schemas.openxmlformats.org/officeDocument/2006/relationships/hyperlink" Id="rId39" Target="http://rtd.lan.arta.kz/docs/experience-introduction-guide/ru/v1.0/" TargetMode="External" /><Relationship Type="http://schemas.openxmlformats.org/officeDocument/2006/relationships/hyperlink" Id="rId23" Target="http://tdd.lan.arta.kz/docs/synergy/tags/minsky/admin-manual/html/appendix.dashboards.html" TargetMode="External" /><Relationship Type="http://schemas.openxmlformats.org/officeDocument/2006/relationships/hyperlink" Id="rId22" Target="http://tdd.lan.arta.kz/docs/synergy/tags/minsky/admin-manual/html/install-and-setup.html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Документация Инструкция по установке Synergy Experience 1.0</dc:title>
  <dc:creator>unknown</dc:creator>
  <cp:keywords/>
  <dcterms:created xsi:type="dcterms:W3CDTF">2022-02-14T05:47:30Z</dcterms:created>
  <dcterms:modified xsi:type="dcterms:W3CDTF">2022-02-14T05:47:30Z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